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3060" w14:textId="77777777" w:rsidR="00BE4168" w:rsidRPr="00910974" w:rsidRDefault="00BE4168" w:rsidP="00B239A1">
      <w:pPr>
        <w:spacing w:after="0" w:line="240" w:lineRule="auto"/>
        <w:jc w:val="center"/>
        <w:rPr>
          <w:rFonts w:cstheme="minorHAnsi"/>
          <w:b/>
          <w:noProof/>
          <w:sz w:val="28"/>
          <w:szCs w:val="28"/>
          <w:u w:val="single"/>
          <w:lang w:eastAsia="en-GB"/>
        </w:rPr>
      </w:pPr>
    </w:p>
    <w:p w14:paraId="1A2C8933" w14:textId="77777777" w:rsidR="00BE4168" w:rsidRPr="00910974" w:rsidRDefault="00BE4168" w:rsidP="00BE4168">
      <w:pPr>
        <w:spacing w:after="0" w:line="240" w:lineRule="auto"/>
        <w:jc w:val="center"/>
        <w:rPr>
          <w:rFonts w:cstheme="minorHAnsi"/>
          <w:b/>
          <w:noProof/>
          <w:sz w:val="16"/>
          <w:szCs w:val="16"/>
          <w:u w:val="single"/>
          <w:lang w:eastAsia="en-GB"/>
        </w:rPr>
      </w:pPr>
    </w:p>
    <w:p w14:paraId="39983774" w14:textId="77777777" w:rsidR="00BE4168" w:rsidRPr="00910974" w:rsidRDefault="00BE4168" w:rsidP="00BE4168">
      <w:pPr>
        <w:spacing w:after="0" w:line="240" w:lineRule="auto"/>
        <w:jc w:val="center"/>
        <w:rPr>
          <w:rFonts w:cstheme="minorHAnsi"/>
          <w:b/>
          <w:noProof/>
          <w:sz w:val="16"/>
          <w:szCs w:val="16"/>
          <w:u w:val="single"/>
          <w:lang w:eastAsia="en-GB"/>
        </w:rPr>
      </w:pPr>
    </w:p>
    <w:p w14:paraId="793AC638" w14:textId="77777777" w:rsidR="00E569E6" w:rsidRPr="00E569E6" w:rsidRDefault="00E569E6" w:rsidP="00E569E6">
      <w:pPr>
        <w:spacing w:after="0" w:line="240" w:lineRule="auto"/>
        <w:jc w:val="center"/>
        <w:rPr>
          <w:rFonts w:cstheme="minorHAnsi"/>
          <w:b/>
          <w:noProof/>
          <w:sz w:val="28"/>
          <w:szCs w:val="28"/>
          <w:u w:val="single"/>
          <w:lang w:eastAsia="en-GB"/>
        </w:rPr>
      </w:pPr>
      <w:r w:rsidRPr="00E569E6">
        <w:rPr>
          <w:rFonts w:cstheme="minorHAnsi"/>
          <w:b/>
          <w:noProof/>
          <w:sz w:val="28"/>
          <w:szCs w:val="28"/>
          <w:u w:val="single"/>
          <w:lang w:eastAsia="en-GB"/>
        </w:rPr>
        <w:t>Kent Teaching School Hub</w:t>
      </w:r>
    </w:p>
    <w:p w14:paraId="5ED34582" w14:textId="37E35713" w:rsidR="00E569E6" w:rsidRPr="00E569E6" w:rsidRDefault="001E7DBE" w:rsidP="00E569E6">
      <w:pPr>
        <w:spacing w:after="0" w:line="240" w:lineRule="auto"/>
        <w:jc w:val="center"/>
        <w:rPr>
          <w:b/>
          <w:sz w:val="28"/>
          <w:szCs w:val="28"/>
          <w:u w:val="single"/>
        </w:rPr>
      </w:pPr>
      <w:r>
        <w:rPr>
          <w:b/>
          <w:sz w:val="28"/>
          <w:szCs w:val="28"/>
          <w:u w:val="single"/>
        </w:rPr>
        <w:t>Teaching School partnership co-ordinator</w:t>
      </w:r>
      <w:r w:rsidR="001814F8">
        <w:rPr>
          <w:b/>
          <w:sz w:val="28"/>
          <w:szCs w:val="28"/>
          <w:u w:val="single"/>
        </w:rPr>
        <w:t xml:space="preserve"> for the </w:t>
      </w:r>
      <w:r w:rsidR="00D2756E">
        <w:rPr>
          <w:b/>
          <w:sz w:val="28"/>
          <w:szCs w:val="28"/>
          <w:u w:val="single"/>
        </w:rPr>
        <w:t>National Professional Qualifications (NPQs)</w:t>
      </w:r>
    </w:p>
    <w:p w14:paraId="4CDC2C32" w14:textId="002C5E6E" w:rsidR="00E90066" w:rsidRPr="00910974" w:rsidRDefault="00377F25" w:rsidP="00E569E6">
      <w:pPr>
        <w:spacing w:after="0" w:line="240" w:lineRule="auto"/>
        <w:jc w:val="center"/>
        <w:rPr>
          <w:rFonts w:cstheme="minorHAnsi"/>
          <w:b/>
          <w:noProof/>
          <w:sz w:val="28"/>
          <w:szCs w:val="28"/>
          <w:u w:val="single"/>
          <w:lang w:eastAsia="en-GB"/>
        </w:rPr>
      </w:pPr>
      <w:r w:rsidRPr="00910974">
        <w:rPr>
          <w:rFonts w:cstheme="minorHAnsi"/>
          <w:b/>
          <w:noProof/>
          <w:sz w:val="28"/>
          <w:szCs w:val="28"/>
          <w:u w:val="single"/>
          <w:lang w:eastAsia="en-GB"/>
        </w:rPr>
        <w:t>Job Description</w:t>
      </w:r>
    </w:p>
    <w:p w14:paraId="35985CC5" w14:textId="77777777" w:rsidR="004D772B" w:rsidRDefault="004D772B" w:rsidP="004D772B">
      <w:pPr>
        <w:spacing w:after="0" w:line="240" w:lineRule="auto"/>
        <w:rPr>
          <w:b/>
          <w:u w:val="single"/>
        </w:rPr>
      </w:pPr>
    </w:p>
    <w:p w14:paraId="312BCCE8" w14:textId="2E626CDB" w:rsidR="004D772B" w:rsidRPr="009A7E1D" w:rsidRDefault="004D772B" w:rsidP="004D772B">
      <w:r w:rsidRPr="009E4438">
        <w:rPr>
          <w:b/>
          <w:u w:val="single"/>
        </w:rPr>
        <w:t>Location</w:t>
      </w:r>
      <w:r>
        <w:rPr>
          <w:b/>
          <w:u w:val="single"/>
        </w:rPr>
        <w:t>:</w:t>
      </w:r>
      <w:r>
        <w:t xml:space="preserve"> Bennett Memorial Diocesan School, </w:t>
      </w:r>
      <w:proofErr w:type="spellStart"/>
      <w:r w:rsidRPr="00362BEB">
        <w:t>Culverden</w:t>
      </w:r>
      <w:proofErr w:type="spellEnd"/>
      <w:r w:rsidRPr="00362BEB">
        <w:t xml:space="preserve"> Down, Tunbridge Wells, Kent, TN4 9SH</w:t>
      </w:r>
      <w:r w:rsidR="00E569E6">
        <w:t xml:space="preserve">. </w:t>
      </w:r>
      <w:r w:rsidR="00E569E6" w:rsidRPr="009A7E1D">
        <w:t>Homeworking flexibility available</w:t>
      </w:r>
      <w:r w:rsidR="00C51067" w:rsidRPr="009A7E1D">
        <w:t xml:space="preserve"> allowing for majority of work to be completed from home</w:t>
      </w:r>
      <w:r w:rsidR="001814F8" w:rsidRPr="009A7E1D">
        <w:t xml:space="preserve"> working flexible hours</w:t>
      </w:r>
      <w:r w:rsidR="00C51067" w:rsidRPr="009A7E1D">
        <w:t xml:space="preserve"> if preferred</w:t>
      </w:r>
      <w:r w:rsidR="00E569E6" w:rsidRPr="009A7E1D">
        <w:t xml:space="preserve">. </w:t>
      </w:r>
    </w:p>
    <w:p w14:paraId="7860A3DD" w14:textId="696C5001" w:rsidR="004D772B" w:rsidRPr="009A7E1D" w:rsidRDefault="004D772B" w:rsidP="004D772B">
      <w:r w:rsidRPr="009A7E1D">
        <w:rPr>
          <w:b/>
          <w:u w:val="single"/>
        </w:rPr>
        <w:t xml:space="preserve">Salary </w:t>
      </w:r>
      <w:r w:rsidR="00D33571" w:rsidRPr="009A7E1D">
        <w:t>KR</w:t>
      </w:r>
      <w:r w:rsidR="00263738" w:rsidRPr="009A7E1D">
        <w:t>6</w:t>
      </w:r>
      <w:r w:rsidR="00937373" w:rsidRPr="009A7E1D">
        <w:t xml:space="preserve"> £</w:t>
      </w:r>
      <w:r w:rsidR="00B43420" w:rsidRPr="009A7E1D">
        <w:t>8,010</w:t>
      </w:r>
      <w:r w:rsidR="00937373" w:rsidRPr="009A7E1D">
        <w:t xml:space="preserve"> pro rata (£20,</w:t>
      </w:r>
      <w:r w:rsidR="00B43420" w:rsidRPr="009A7E1D">
        <w:t xml:space="preserve">997 </w:t>
      </w:r>
      <w:proofErr w:type="gramStart"/>
      <w:r w:rsidR="00937373" w:rsidRPr="009A7E1D">
        <w:t>FTE )</w:t>
      </w:r>
      <w:proofErr w:type="gramEnd"/>
    </w:p>
    <w:p w14:paraId="2E7B4F58" w14:textId="20FBD58C" w:rsidR="004D772B" w:rsidRPr="00362BEB" w:rsidRDefault="00D33571" w:rsidP="004D772B">
      <w:r>
        <w:rPr>
          <w:b/>
          <w:u w:val="single"/>
        </w:rPr>
        <w:t xml:space="preserve">Contract </w:t>
      </w:r>
      <w:r w:rsidR="004D772B" w:rsidRPr="00362BEB">
        <w:t xml:space="preserve">Term Time plus </w:t>
      </w:r>
      <w:r w:rsidR="00D2756E">
        <w:t>2</w:t>
      </w:r>
      <w:r w:rsidR="004D772B" w:rsidRPr="00362BEB">
        <w:t xml:space="preserve"> weeks to be worked flexibly by agreement during school holidays</w:t>
      </w:r>
      <w:r w:rsidR="00D2756E">
        <w:t>.</w:t>
      </w:r>
    </w:p>
    <w:p w14:paraId="4B9FB8C3" w14:textId="6912BEEA" w:rsidR="004D772B" w:rsidRPr="002B251A" w:rsidRDefault="004D772B" w:rsidP="00D33571">
      <w:pPr>
        <w:tabs>
          <w:tab w:val="left" w:pos="720"/>
          <w:tab w:val="left" w:pos="1440"/>
          <w:tab w:val="left" w:pos="2160"/>
          <w:tab w:val="left" w:pos="2923"/>
        </w:tabs>
        <w:jc w:val="both"/>
        <w:rPr>
          <w:rFonts w:ascii="Calibri" w:hAnsi="Calibri" w:cs="Arial"/>
          <w:b/>
          <w:bCs/>
        </w:rPr>
      </w:pPr>
      <w:r w:rsidRPr="002B251A">
        <w:rPr>
          <w:b/>
          <w:u w:val="single"/>
        </w:rPr>
        <w:t xml:space="preserve">Hours </w:t>
      </w:r>
      <w:r w:rsidR="001E7DBE">
        <w:t>1</w:t>
      </w:r>
      <w:r w:rsidR="00B558FA">
        <w:t>6</w:t>
      </w:r>
      <w:r w:rsidRPr="002B251A">
        <w:t xml:space="preserve"> hours per week t</w:t>
      </w:r>
      <w:bookmarkStart w:id="0" w:name="_GoBack"/>
      <w:bookmarkEnd w:id="0"/>
      <w:r w:rsidRPr="002B251A">
        <w:t xml:space="preserve">o be mutually agreed. </w:t>
      </w:r>
      <w:r w:rsidR="00D33571" w:rsidRPr="002B251A">
        <w:rPr>
          <w:rFonts w:ascii="Calibri" w:hAnsi="Calibri"/>
        </w:rPr>
        <w:t>Some flexibility will be required within working times to meet dema</w:t>
      </w:r>
      <w:r w:rsidR="00DE620E" w:rsidRPr="002B251A">
        <w:rPr>
          <w:rFonts w:ascii="Calibri" w:hAnsi="Calibri"/>
        </w:rPr>
        <w:t>nds of the Hub</w:t>
      </w:r>
      <w:r w:rsidR="00D33571" w:rsidRPr="002B251A">
        <w:rPr>
          <w:rFonts w:ascii="Calibri" w:hAnsi="Calibri"/>
        </w:rPr>
        <w:t xml:space="preserve"> when required.</w:t>
      </w:r>
    </w:p>
    <w:p w14:paraId="497FE9DB" w14:textId="3FA35207" w:rsidR="004D772B" w:rsidRPr="002B251A" w:rsidRDefault="004D772B" w:rsidP="004D772B">
      <w:r w:rsidRPr="002B251A">
        <w:rPr>
          <w:b/>
          <w:u w:val="single"/>
        </w:rPr>
        <w:t xml:space="preserve">Start date </w:t>
      </w:r>
      <w:r w:rsidR="002775E9">
        <w:t>21</w:t>
      </w:r>
      <w:r w:rsidR="002775E9" w:rsidRPr="002775E9">
        <w:rPr>
          <w:vertAlign w:val="superscript"/>
        </w:rPr>
        <w:t>st</w:t>
      </w:r>
      <w:r w:rsidR="002775E9">
        <w:t xml:space="preserve"> February </w:t>
      </w:r>
      <w:r w:rsidR="002B251A">
        <w:t>20</w:t>
      </w:r>
      <w:r w:rsidRPr="002B251A">
        <w:t>21</w:t>
      </w:r>
      <w:r w:rsidR="00E569E6">
        <w:t xml:space="preserve"> or as soon as possible thereafter. </w:t>
      </w:r>
      <w:r w:rsidR="002775E9">
        <w:t>Closing date Monday 24</w:t>
      </w:r>
      <w:r w:rsidR="002775E9" w:rsidRPr="002775E9">
        <w:rPr>
          <w:vertAlign w:val="superscript"/>
        </w:rPr>
        <w:t>th</w:t>
      </w:r>
      <w:r w:rsidR="002775E9">
        <w:t xml:space="preserve"> January. </w:t>
      </w:r>
    </w:p>
    <w:p w14:paraId="4B3B484E" w14:textId="15E26350" w:rsidR="00D33571" w:rsidRPr="002B251A" w:rsidRDefault="00D33571" w:rsidP="007078D2">
      <w:pPr>
        <w:pStyle w:val="xxmsonormal"/>
        <w:jc w:val="both"/>
        <w:rPr>
          <w:rFonts w:asciiTheme="minorHAnsi" w:hAnsiTheme="minorHAnsi" w:cstheme="minorHAnsi"/>
          <w:sz w:val="22"/>
          <w:szCs w:val="22"/>
        </w:rPr>
      </w:pPr>
      <w:r w:rsidRPr="002B251A">
        <w:rPr>
          <w:rFonts w:asciiTheme="minorHAnsi" w:hAnsiTheme="minorHAnsi" w:cstheme="minorHAnsi"/>
          <w:sz w:val="22"/>
          <w:szCs w:val="22"/>
        </w:rPr>
        <w:t xml:space="preserve">The successful candidate will be offered a </w:t>
      </w:r>
      <w:r w:rsidR="00195622" w:rsidRPr="002B251A">
        <w:rPr>
          <w:rFonts w:asciiTheme="minorHAnsi" w:hAnsiTheme="minorHAnsi" w:cstheme="minorHAnsi"/>
          <w:sz w:val="22"/>
          <w:szCs w:val="22"/>
        </w:rPr>
        <w:t xml:space="preserve">fixed term </w:t>
      </w:r>
      <w:r w:rsidR="006B3A3F">
        <w:rPr>
          <w:rFonts w:asciiTheme="minorHAnsi" w:hAnsiTheme="minorHAnsi" w:cstheme="minorHAnsi"/>
          <w:sz w:val="22"/>
          <w:szCs w:val="22"/>
        </w:rPr>
        <w:t>1-</w:t>
      </w:r>
      <w:r w:rsidRPr="002B251A">
        <w:rPr>
          <w:rFonts w:asciiTheme="minorHAnsi" w:hAnsiTheme="minorHAnsi" w:cstheme="minorHAnsi"/>
          <w:sz w:val="22"/>
          <w:szCs w:val="22"/>
        </w:rPr>
        <w:t>year contract</w:t>
      </w:r>
      <w:r w:rsidR="000555CB" w:rsidRPr="002B251A">
        <w:rPr>
          <w:rFonts w:asciiTheme="minorHAnsi" w:hAnsiTheme="minorHAnsi" w:cstheme="minorHAnsi"/>
          <w:sz w:val="22"/>
          <w:szCs w:val="22"/>
        </w:rPr>
        <w:t xml:space="preserve"> initially, with the possibility </w:t>
      </w:r>
      <w:r w:rsidR="001B1D4E" w:rsidRPr="002B251A">
        <w:rPr>
          <w:rFonts w:asciiTheme="minorHAnsi" w:hAnsiTheme="minorHAnsi" w:cstheme="minorHAnsi"/>
          <w:sz w:val="22"/>
          <w:szCs w:val="22"/>
        </w:rPr>
        <w:t>of additional</w:t>
      </w:r>
      <w:r w:rsidR="000555CB" w:rsidRPr="002B251A">
        <w:rPr>
          <w:rFonts w:asciiTheme="minorHAnsi" w:hAnsiTheme="minorHAnsi" w:cstheme="minorHAnsi"/>
          <w:sz w:val="22"/>
          <w:szCs w:val="22"/>
        </w:rPr>
        <w:t xml:space="preserve"> hours</w:t>
      </w:r>
      <w:r w:rsidR="006B3A3F">
        <w:rPr>
          <w:rFonts w:asciiTheme="minorHAnsi" w:hAnsiTheme="minorHAnsi" w:cstheme="minorHAnsi"/>
          <w:sz w:val="22"/>
          <w:szCs w:val="22"/>
        </w:rPr>
        <w:t>,</w:t>
      </w:r>
      <w:r w:rsidR="000555CB" w:rsidRPr="002B251A">
        <w:rPr>
          <w:rFonts w:asciiTheme="minorHAnsi" w:hAnsiTheme="minorHAnsi" w:cstheme="minorHAnsi"/>
          <w:sz w:val="22"/>
          <w:szCs w:val="22"/>
        </w:rPr>
        <w:t xml:space="preserve"> and an </w:t>
      </w:r>
      <w:r w:rsidR="00195622" w:rsidRPr="002B251A">
        <w:rPr>
          <w:rFonts w:asciiTheme="minorHAnsi" w:hAnsiTheme="minorHAnsi" w:cstheme="minorHAnsi"/>
          <w:sz w:val="22"/>
          <w:szCs w:val="22"/>
        </w:rPr>
        <w:t xml:space="preserve">extension </w:t>
      </w:r>
      <w:r w:rsidR="006B3A3F">
        <w:rPr>
          <w:rFonts w:asciiTheme="minorHAnsi" w:hAnsiTheme="minorHAnsi" w:cstheme="minorHAnsi"/>
          <w:sz w:val="22"/>
          <w:szCs w:val="22"/>
        </w:rPr>
        <w:t>of contract or permanent role,</w:t>
      </w:r>
      <w:r w:rsidR="000555CB" w:rsidRPr="002B251A">
        <w:rPr>
          <w:rFonts w:asciiTheme="minorHAnsi" w:hAnsiTheme="minorHAnsi" w:cstheme="minorHAnsi"/>
          <w:sz w:val="22"/>
          <w:szCs w:val="22"/>
        </w:rPr>
        <w:t xml:space="preserve"> </w:t>
      </w:r>
      <w:r w:rsidR="006B3A3F">
        <w:rPr>
          <w:rFonts w:asciiTheme="minorHAnsi" w:hAnsiTheme="minorHAnsi" w:cstheme="minorHAnsi"/>
          <w:sz w:val="22"/>
          <w:szCs w:val="22"/>
        </w:rPr>
        <w:t xml:space="preserve">depending </w:t>
      </w:r>
      <w:r w:rsidR="000555CB" w:rsidRPr="002B251A">
        <w:rPr>
          <w:rFonts w:asciiTheme="minorHAnsi" w:hAnsiTheme="minorHAnsi" w:cstheme="minorHAnsi"/>
          <w:sz w:val="22"/>
          <w:szCs w:val="22"/>
        </w:rPr>
        <w:t xml:space="preserve">on the </w:t>
      </w:r>
      <w:r w:rsidR="006B3A3F">
        <w:rPr>
          <w:rFonts w:asciiTheme="minorHAnsi" w:hAnsiTheme="minorHAnsi" w:cstheme="minorHAnsi"/>
          <w:sz w:val="22"/>
          <w:szCs w:val="22"/>
        </w:rPr>
        <w:t xml:space="preserve">future </w:t>
      </w:r>
      <w:r w:rsidR="001B1D4E" w:rsidRPr="002B251A">
        <w:rPr>
          <w:rFonts w:asciiTheme="minorHAnsi" w:hAnsiTheme="minorHAnsi" w:cstheme="minorHAnsi"/>
          <w:sz w:val="22"/>
          <w:szCs w:val="22"/>
        </w:rPr>
        <w:t>needs</w:t>
      </w:r>
      <w:r w:rsidR="000555CB" w:rsidRPr="002B251A">
        <w:rPr>
          <w:rFonts w:asciiTheme="minorHAnsi" w:hAnsiTheme="minorHAnsi" w:cstheme="minorHAnsi"/>
          <w:sz w:val="22"/>
          <w:szCs w:val="22"/>
        </w:rPr>
        <w:t xml:space="preserve"> </w:t>
      </w:r>
      <w:r w:rsidR="006B3A3F">
        <w:rPr>
          <w:rFonts w:asciiTheme="minorHAnsi" w:hAnsiTheme="minorHAnsi" w:cstheme="minorHAnsi"/>
          <w:sz w:val="22"/>
          <w:szCs w:val="22"/>
        </w:rPr>
        <w:t xml:space="preserve">and funding </w:t>
      </w:r>
      <w:r w:rsidR="000555CB" w:rsidRPr="002B251A">
        <w:rPr>
          <w:rFonts w:asciiTheme="minorHAnsi" w:hAnsiTheme="minorHAnsi" w:cstheme="minorHAnsi"/>
          <w:sz w:val="22"/>
          <w:szCs w:val="22"/>
        </w:rPr>
        <w:t>of the</w:t>
      </w:r>
      <w:r w:rsidR="00937373">
        <w:rPr>
          <w:rFonts w:asciiTheme="minorHAnsi" w:hAnsiTheme="minorHAnsi" w:cstheme="minorHAnsi"/>
          <w:sz w:val="22"/>
          <w:szCs w:val="22"/>
        </w:rPr>
        <w:t xml:space="preserve"> Teaching School</w:t>
      </w:r>
      <w:r w:rsidR="000555CB" w:rsidRPr="002B251A">
        <w:rPr>
          <w:rFonts w:asciiTheme="minorHAnsi" w:hAnsiTheme="minorHAnsi" w:cstheme="minorHAnsi"/>
          <w:sz w:val="22"/>
          <w:szCs w:val="22"/>
        </w:rPr>
        <w:t xml:space="preserve"> Hub</w:t>
      </w:r>
      <w:r w:rsidR="006B3A3F">
        <w:rPr>
          <w:rFonts w:asciiTheme="minorHAnsi" w:hAnsiTheme="minorHAnsi" w:cstheme="minorHAnsi"/>
          <w:sz w:val="22"/>
          <w:szCs w:val="22"/>
        </w:rPr>
        <w:t>.</w:t>
      </w:r>
      <w:r w:rsidR="00195622" w:rsidRPr="002B251A">
        <w:rPr>
          <w:rFonts w:asciiTheme="minorHAnsi" w:hAnsiTheme="minorHAnsi" w:cstheme="minorHAnsi"/>
          <w:sz w:val="22"/>
          <w:szCs w:val="22"/>
        </w:rPr>
        <w:t xml:space="preserve"> </w:t>
      </w:r>
    </w:p>
    <w:p w14:paraId="3C51B8B2" w14:textId="77777777" w:rsidR="00D33571" w:rsidRDefault="00D33571" w:rsidP="007078D2">
      <w:pPr>
        <w:pStyle w:val="xxmsonormal"/>
        <w:jc w:val="both"/>
      </w:pPr>
    </w:p>
    <w:p w14:paraId="4AE45DAB" w14:textId="0B09F9B7" w:rsidR="00162F01" w:rsidRDefault="00162F01" w:rsidP="00E569E6">
      <w:pPr>
        <w:spacing w:after="0" w:line="240" w:lineRule="auto"/>
        <w:rPr>
          <w:b/>
          <w:i/>
          <w:u w:val="single"/>
        </w:rPr>
      </w:pPr>
      <w:bookmarkStart w:id="1" w:name="_Hlk83237406"/>
      <w:r>
        <w:rPr>
          <w:b/>
          <w:i/>
          <w:u w:val="single"/>
        </w:rPr>
        <w:t xml:space="preserve">Context of the role: </w:t>
      </w:r>
    </w:p>
    <w:p w14:paraId="18BD891F" w14:textId="77777777" w:rsidR="00162F01" w:rsidRDefault="00162F01" w:rsidP="00E569E6">
      <w:pPr>
        <w:spacing w:after="0" w:line="240" w:lineRule="auto"/>
        <w:rPr>
          <w:b/>
          <w:i/>
          <w:u w:val="single"/>
        </w:rPr>
      </w:pPr>
    </w:p>
    <w:p w14:paraId="4225B9E5" w14:textId="5E0E579D" w:rsidR="00D2756E" w:rsidRPr="009A7E1D" w:rsidRDefault="00162F01" w:rsidP="00162F01">
      <w:r w:rsidRPr="009A7E1D">
        <w:t xml:space="preserve">The Kent Teaching School hub has been accredited by the Department for Education to provide initial teacher training, the Early Career Framework (ECF), an Appropriate Body (AB) service, the </w:t>
      </w:r>
      <w:r w:rsidR="00D2756E" w:rsidRPr="009A7E1D">
        <w:t>N</w:t>
      </w:r>
      <w:r w:rsidRPr="009A7E1D">
        <w:t xml:space="preserve">ational </w:t>
      </w:r>
      <w:r w:rsidR="00D2756E" w:rsidRPr="009A7E1D">
        <w:t>P</w:t>
      </w:r>
      <w:r w:rsidRPr="009A7E1D">
        <w:t xml:space="preserve">rofessional </w:t>
      </w:r>
      <w:r w:rsidR="00D2756E" w:rsidRPr="009A7E1D">
        <w:t>Q</w:t>
      </w:r>
      <w:r w:rsidRPr="009A7E1D">
        <w:t>ualifications</w:t>
      </w:r>
      <w:r w:rsidR="00D2756E" w:rsidRPr="009A7E1D">
        <w:t xml:space="preserve"> (NPQs)</w:t>
      </w:r>
      <w:r w:rsidRPr="009A7E1D">
        <w:t xml:space="preserve"> and school professional development to schools across East, West and South Kent.  </w:t>
      </w:r>
    </w:p>
    <w:p w14:paraId="4FCBED4F" w14:textId="77777777" w:rsidR="00AD5E84" w:rsidRPr="009A7E1D" w:rsidRDefault="00D2756E" w:rsidP="00162F01">
      <w:r w:rsidRPr="009A7E1D">
        <w:t xml:space="preserve">NPQs are aimed at those aspiring to be or who currently hold leadership roles within schools. There are currently five NPQs that the Kent Teaching School hub </w:t>
      </w:r>
      <w:r w:rsidR="00AD5E84" w:rsidRPr="009A7E1D">
        <w:t xml:space="preserve">deliver in partnership with </w:t>
      </w:r>
      <w:r w:rsidR="00162F01" w:rsidRPr="009A7E1D">
        <w:t>the Ambition Institute (a national provider of education professional development)</w:t>
      </w:r>
      <w:r w:rsidR="00AD5E84" w:rsidRPr="009A7E1D">
        <w:t>:</w:t>
      </w:r>
    </w:p>
    <w:p w14:paraId="6D7647FE" w14:textId="77777777" w:rsidR="00AD5E84" w:rsidRPr="009A7E1D" w:rsidRDefault="00AD5E84" w:rsidP="00162F01">
      <w:r w:rsidRPr="009A7E1D">
        <w:t xml:space="preserve">Leadership NPQs: </w:t>
      </w:r>
      <w:r w:rsidRPr="009A7E1D">
        <w:tab/>
        <w:t>NPQ for headship</w:t>
      </w:r>
    </w:p>
    <w:p w14:paraId="0818E51B" w14:textId="77777777" w:rsidR="00AD5E84" w:rsidRPr="009A7E1D" w:rsidRDefault="00AD5E84" w:rsidP="00162F01">
      <w:r w:rsidRPr="009A7E1D">
        <w:tab/>
      </w:r>
      <w:r w:rsidRPr="009A7E1D">
        <w:tab/>
      </w:r>
      <w:r w:rsidRPr="009A7E1D">
        <w:tab/>
        <w:t>NPQ for senior leadership</w:t>
      </w:r>
    </w:p>
    <w:p w14:paraId="7DDEFE70" w14:textId="77777777" w:rsidR="00AD5E84" w:rsidRPr="009A7E1D" w:rsidRDefault="00AD5E84" w:rsidP="00162F01">
      <w:r w:rsidRPr="009A7E1D">
        <w:t>Specialist NPQs:</w:t>
      </w:r>
      <w:r w:rsidRPr="009A7E1D">
        <w:tab/>
      </w:r>
      <w:r w:rsidRPr="009A7E1D">
        <w:tab/>
        <w:t>Leading teaching, leading teacher development, leading behaviour and culture.</w:t>
      </w:r>
    </w:p>
    <w:p w14:paraId="51630502" w14:textId="0033F2EC" w:rsidR="00AD5E84" w:rsidRPr="009A7E1D" w:rsidRDefault="00AD5E84" w:rsidP="00162F01">
      <w:r w:rsidRPr="009A7E1D">
        <w:t xml:space="preserve">These will be joined by two further NPQs in September 2022: Leading literacy and leading in early years education. </w:t>
      </w:r>
      <w:r w:rsidR="00162F01" w:rsidRPr="009A7E1D">
        <w:t xml:space="preserve"> </w:t>
      </w:r>
      <w:r w:rsidRPr="009A7E1D">
        <w:t xml:space="preserve">For full details of our NPQ offer see our </w:t>
      </w:r>
      <w:hyperlink r:id="rId8" w:history="1">
        <w:r w:rsidRPr="009A7E1D">
          <w:rPr>
            <w:rStyle w:val="Hyperlink"/>
            <w:color w:val="auto"/>
          </w:rPr>
          <w:t>website.</w:t>
        </w:r>
      </w:hyperlink>
      <w:r w:rsidRPr="009A7E1D">
        <w:t xml:space="preserve"> </w:t>
      </w:r>
    </w:p>
    <w:p w14:paraId="46BAE5AD" w14:textId="3D988AE1" w:rsidR="00162F01" w:rsidRPr="009A7E1D" w:rsidRDefault="00162F01" w:rsidP="00162F01">
      <w:r w:rsidRPr="009A7E1D">
        <w:t xml:space="preserve">Applicants need not have a working knowledge of </w:t>
      </w:r>
      <w:r w:rsidR="00AD5E84" w:rsidRPr="009A7E1D">
        <w:t xml:space="preserve">the NPQs </w:t>
      </w:r>
      <w:r w:rsidRPr="009A7E1D">
        <w:t>but will need to demonstrate the skills, abilities and knowledge indicated in the table below.</w:t>
      </w:r>
    </w:p>
    <w:p w14:paraId="78DDD49A" w14:textId="77777777" w:rsidR="00162F01" w:rsidRDefault="00162F01" w:rsidP="00E569E6">
      <w:pPr>
        <w:spacing w:after="0" w:line="240" w:lineRule="auto"/>
        <w:rPr>
          <w:b/>
          <w:i/>
          <w:u w:val="single"/>
        </w:rPr>
      </w:pPr>
    </w:p>
    <w:p w14:paraId="6DD91E42" w14:textId="35EA4ECD" w:rsidR="00E569E6" w:rsidRDefault="00E569E6" w:rsidP="00E569E6">
      <w:pPr>
        <w:spacing w:after="0" w:line="240" w:lineRule="auto"/>
        <w:rPr>
          <w:b/>
          <w:i/>
          <w:u w:val="single"/>
        </w:rPr>
      </w:pPr>
      <w:r>
        <w:rPr>
          <w:b/>
          <w:i/>
          <w:u w:val="single"/>
        </w:rPr>
        <w:t>Summary of key responsibilities</w:t>
      </w:r>
    </w:p>
    <w:p w14:paraId="3D6AB62C" w14:textId="77777777" w:rsidR="00E569E6" w:rsidRDefault="00E569E6" w:rsidP="00E569E6">
      <w:pPr>
        <w:spacing w:after="0" w:line="240" w:lineRule="auto"/>
        <w:rPr>
          <w:b/>
          <w:i/>
          <w:u w:val="single"/>
        </w:rPr>
      </w:pPr>
    </w:p>
    <w:p w14:paraId="24AA1567" w14:textId="77777777" w:rsidR="00AD5E84" w:rsidRDefault="00E569E6" w:rsidP="00AD5E84">
      <w:r w:rsidRPr="00362BEB">
        <w:t xml:space="preserve">To work under the direction of the </w:t>
      </w:r>
      <w:r>
        <w:t xml:space="preserve">Administration Manager for the Kent Teaching School hub </w:t>
      </w:r>
      <w:r w:rsidRPr="00362BEB">
        <w:t>to provide</w:t>
      </w:r>
      <w:r>
        <w:t xml:space="preserve"> administrative support for the effective</w:t>
      </w:r>
      <w:r w:rsidR="00AD5E84">
        <w:t xml:space="preserve"> delivery of the full suite of NPQs.</w:t>
      </w:r>
    </w:p>
    <w:p w14:paraId="5289785C" w14:textId="2DE08D31" w:rsidR="00E569E6" w:rsidRDefault="00E569E6" w:rsidP="00AD5E84">
      <w:pPr>
        <w:pStyle w:val="ListParagraph"/>
        <w:numPr>
          <w:ilvl w:val="0"/>
          <w:numId w:val="6"/>
        </w:numPr>
      </w:pPr>
      <w:r>
        <w:t>Set up and administration of onboarding of teachers</w:t>
      </w:r>
      <w:r w:rsidR="00AD5E84">
        <w:t xml:space="preserve"> and school leaders</w:t>
      </w:r>
      <w:r>
        <w:t xml:space="preserve"> as they register with the Kent Teaching School hub </w:t>
      </w:r>
      <w:r w:rsidRPr="001E0BCE">
        <w:t>for</w:t>
      </w:r>
      <w:r>
        <w:t xml:space="preserve"> participation in the hub’s </w:t>
      </w:r>
      <w:r w:rsidR="00AD5E84">
        <w:t xml:space="preserve">NPQ </w:t>
      </w:r>
      <w:r>
        <w:t xml:space="preserve">provision </w:t>
      </w:r>
    </w:p>
    <w:p w14:paraId="141144E9" w14:textId="724584AC" w:rsidR="00AD5E84" w:rsidRDefault="00AD5E84" w:rsidP="00AD5E84"/>
    <w:p w14:paraId="6FFFB37E" w14:textId="3F95D01A" w:rsidR="00AD5E84" w:rsidRDefault="00AD5E84" w:rsidP="00AD5E84"/>
    <w:p w14:paraId="715D3B80" w14:textId="77777777" w:rsidR="00AD5E84" w:rsidRDefault="00AD5E84" w:rsidP="00AD5E84"/>
    <w:p w14:paraId="7EDB40BA" w14:textId="67242414" w:rsidR="00E569E6" w:rsidRDefault="00E569E6" w:rsidP="00E569E6">
      <w:pPr>
        <w:pStyle w:val="ListParagraph"/>
        <w:numPr>
          <w:ilvl w:val="0"/>
          <w:numId w:val="6"/>
        </w:numPr>
      </w:pPr>
      <w:r>
        <w:t>Working with schools</w:t>
      </w:r>
      <w:r w:rsidR="00AD5E84">
        <w:t xml:space="preserve"> and </w:t>
      </w:r>
      <w:proofErr w:type="gramStart"/>
      <w:r w:rsidR="00AD5E84">
        <w:t xml:space="preserve">participants </w:t>
      </w:r>
      <w:r>
        <w:t xml:space="preserve"> to</w:t>
      </w:r>
      <w:proofErr w:type="gramEnd"/>
      <w:r>
        <w:t xml:space="preserve"> help them navigate</w:t>
      </w:r>
      <w:r w:rsidR="00AD5E84">
        <w:t xml:space="preserve"> NPQ course requirements</w:t>
      </w:r>
    </w:p>
    <w:p w14:paraId="3C4F2192" w14:textId="6B7F85F1" w:rsidR="00E569E6" w:rsidRDefault="00E569E6" w:rsidP="00E569E6">
      <w:pPr>
        <w:pStyle w:val="ListParagraph"/>
        <w:numPr>
          <w:ilvl w:val="0"/>
          <w:numId w:val="6"/>
        </w:numPr>
      </w:pPr>
      <w:r>
        <w:t xml:space="preserve">Liaison with </w:t>
      </w:r>
      <w:r w:rsidR="00AD5E84">
        <w:t>NPQ</w:t>
      </w:r>
      <w:r>
        <w:t xml:space="preserve"> national provider (currently Ambition Institute)</w:t>
      </w:r>
    </w:p>
    <w:p w14:paraId="42C7BD93" w14:textId="2CDD8E47" w:rsidR="00E569E6" w:rsidRDefault="00E569E6" w:rsidP="00E569E6">
      <w:pPr>
        <w:pStyle w:val="ListParagraph"/>
        <w:numPr>
          <w:ilvl w:val="0"/>
          <w:numId w:val="6"/>
        </w:numPr>
      </w:pPr>
      <w:r>
        <w:t xml:space="preserve">Tracking of </w:t>
      </w:r>
      <w:r w:rsidR="00AD5E84">
        <w:t xml:space="preserve">NPQ </w:t>
      </w:r>
      <w:r>
        <w:t xml:space="preserve">once registered </w:t>
      </w:r>
      <w:r w:rsidRPr="001E0BCE">
        <w:t xml:space="preserve">through </w:t>
      </w:r>
      <w:r>
        <w:t xml:space="preserve">the Ambition Institute’s </w:t>
      </w:r>
      <w:proofErr w:type="spellStart"/>
      <w:r>
        <w:t>Steplab</w:t>
      </w:r>
      <w:proofErr w:type="spellEnd"/>
      <w:r>
        <w:t xml:space="preserve"> online portal</w:t>
      </w:r>
      <w:r w:rsidRPr="001E0BCE">
        <w:t xml:space="preserve"> </w:t>
      </w:r>
    </w:p>
    <w:p w14:paraId="03C07A96" w14:textId="7D46F22B" w:rsidR="00E569E6" w:rsidRDefault="00E569E6" w:rsidP="00E569E6">
      <w:pPr>
        <w:pStyle w:val="ListParagraph"/>
        <w:numPr>
          <w:ilvl w:val="0"/>
          <w:numId w:val="6"/>
        </w:numPr>
      </w:pPr>
      <w:r w:rsidRPr="001E0BCE">
        <w:t>Communication with</w:t>
      </w:r>
      <w:r w:rsidR="00AD5E84">
        <w:t xml:space="preserve"> NPQ participants on </w:t>
      </w:r>
      <w:r>
        <w:t>all assessment processes</w:t>
      </w:r>
    </w:p>
    <w:p w14:paraId="0A2B793A" w14:textId="3185E1DD" w:rsidR="00E569E6" w:rsidRDefault="00E569E6" w:rsidP="00E569E6">
      <w:pPr>
        <w:pStyle w:val="ListParagraph"/>
        <w:numPr>
          <w:ilvl w:val="0"/>
          <w:numId w:val="6"/>
        </w:numPr>
      </w:pPr>
      <w:r>
        <w:t xml:space="preserve">Organisation </w:t>
      </w:r>
      <w:r w:rsidR="00E51E6A">
        <w:t xml:space="preserve">and administration </w:t>
      </w:r>
      <w:r>
        <w:t xml:space="preserve">of </w:t>
      </w:r>
      <w:r w:rsidR="00E51E6A">
        <w:t>Q</w:t>
      </w:r>
      <w:r>
        <w:t xml:space="preserve">uality Assurance checks </w:t>
      </w:r>
      <w:r w:rsidR="00AD5E84">
        <w:t>of NPQ facilitators</w:t>
      </w:r>
    </w:p>
    <w:p w14:paraId="4EC706E7" w14:textId="76A67E39" w:rsidR="00E51E6A" w:rsidRDefault="00E51E6A" w:rsidP="00E569E6">
      <w:pPr>
        <w:pStyle w:val="ListParagraph"/>
        <w:numPr>
          <w:ilvl w:val="0"/>
          <w:numId w:val="6"/>
        </w:numPr>
      </w:pPr>
      <w:r>
        <w:t xml:space="preserve">Assisting the Events coordinator in setting up </w:t>
      </w:r>
      <w:r w:rsidR="00AD5E84">
        <w:t xml:space="preserve">of ‘in person’ and virtual </w:t>
      </w:r>
      <w:r>
        <w:t xml:space="preserve">events </w:t>
      </w:r>
      <w:r w:rsidR="00AD5E84">
        <w:t>as required by the NPQs</w:t>
      </w:r>
    </w:p>
    <w:p w14:paraId="2B819870" w14:textId="77777777" w:rsidR="00AD5E84" w:rsidRDefault="00E51E6A" w:rsidP="00AD5E84">
      <w:pPr>
        <w:pStyle w:val="ListParagraph"/>
        <w:numPr>
          <w:ilvl w:val="0"/>
          <w:numId w:val="6"/>
        </w:numPr>
      </w:pPr>
      <w:r>
        <w:t xml:space="preserve">Attending relevant hub engagement events to promote the </w:t>
      </w:r>
      <w:r w:rsidR="00AD5E84">
        <w:t>hub NPQ offer</w:t>
      </w:r>
    </w:p>
    <w:p w14:paraId="09193190" w14:textId="1563AA1B" w:rsidR="00E51E6A" w:rsidRDefault="00E51E6A" w:rsidP="00AD5E84">
      <w:pPr>
        <w:pStyle w:val="ListParagraph"/>
        <w:numPr>
          <w:ilvl w:val="0"/>
          <w:numId w:val="6"/>
        </w:numPr>
      </w:pPr>
      <w:r>
        <w:t>Assisting in the data collection required for the hub’s Key Performance Indicators (KPIs)</w:t>
      </w:r>
    </w:p>
    <w:p w14:paraId="7CBCE46E" w14:textId="35E33E7A" w:rsidR="00E569E6" w:rsidRDefault="00E569E6" w:rsidP="00E569E6">
      <w:pPr>
        <w:pStyle w:val="ListParagraph"/>
        <w:numPr>
          <w:ilvl w:val="0"/>
          <w:numId w:val="6"/>
        </w:numPr>
      </w:pPr>
      <w:r>
        <w:t xml:space="preserve">Evaluation </w:t>
      </w:r>
      <w:r w:rsidRPr="001E0BCE">
        <w:t xml:space="preserve">with </w:t>
      </w:r>
      <w:r>
        <w:t>the Administration Manager and Kent Teaching School Hub Operations D</w:t>
      </w:r>
      <w:r w:rsidRPr="001E0BCE">
        <w:t>irector</w:t>
      </w:r>
      <w:r>
        <w:t xml:space="preserve"> to review effectiveness of </w:t>
      </w:r>
      <w:r w:rsidR="00AD5E84">
        <w:t xml:space="preserve">NPQs provided by the hub. </w:t>
      </w:r>
    </w:p>
    <w:bookmarkEnd w:id="1"/>
    <w:p w14:paraId="2F7038C0" w14:textId="77777777" w:rsidR="00647F78" w:rsidRDefault="00647F78" w:rsidP="007078D2">
      <w:pPr>
        <w:spacing w:after="0" w:line="240" w:lineRule="auto"/>
        <w:jc w:val="both"/>
        <w:rPr>
          <w:b/>
          <w:i/>
          <w:u w:val="single"/>
        </w:rPr>
      </w:pPr>
    </w:p>
    <w:p w14:paraId="7F3DDBB6" w14:textId="77777777" w:rsidR="00D516BE" w:rsidRPr="00293DCB" w:rsidRDefault="00D516BE" w:rsidP="007078D2">
      <w:pPr>
        <w:spacing w:after="0" w:line="240" w:lineRule="auto"/>
        <w:jc w:val="both"/>
        <w:rPr>
          <w:b/>
          <w:i/>
          <w:u w:val="single"/>
        </w:rPr>
      </w:pPr>
      <w:r w:rsidRPr="00293DCB">
        <w:rPr>
          <w:b/>
          <w:i/>
          <w:u w:val="single"/>
        </w:rPr>
        <w:t xml:space="preserve">Person Specification </w:t>
      </w:r>
    </w:p>
    <w:p w14:paraId="0322DDA4" w14:textId="77777777" w:rsidR="00195622" w:rsidRDefault="00195622" w:rsidP="004F189E">
      <w:pPr>
        <w:spacing w:after="0" w:line="240" w:lineRule="auto"/>
        <w:jc w:val="both"/>
        <w:rPr>
          <w:b/>
        </w:rPr>
      </w:pPr>
    </w:p>
    <w:p w14:paraId="6B9D8E41" w14:textId="77777777" w:rsidR="00195622" w:rsidRPr="00F642D0" w:rsidRDefault="00195622" w:rsidP="00195622">
      <w:pPr>
        <w:spacing w:after="166"/>
        <w:ind w:right="8"/>
        <w:rPr>
          <w:rFonts w:ascii="Calibri" w:hAnsi="Calibri" w:cs="Calibri"/>
        </w:rPr>
      </w:pPr>
      <w:r w:rsidRPr="00F642D0">
        <w:rPr>
          <w:rFonts w:ascii="Calibri" w:hAnsi="Calibri" w:cs="Calibri"/>
        </w:rPr>
        <w:t xml:space="preserve">This person specification is designed to enable potential applicants for this role to determine how fully they currently meet the requirements of the role. It will be used to shortlist applicants and as part of the selection process.  </w:t>
      </w:r>
    </w:p>
    <w:p w14:paraId="16673DDE" w14:textId="77777777" w:rsidR="00195622" w:rsidRPr="009D2AA6" w:rsidRDefault="00195622" w:rsidP="00195622">
      <w:pPr>
        <w:spacing w:after="161" w:line="250" w:lineRule="auto"/>
        <w:jc w:val="both"/>
        <w:rPr>
          <w:rFonts w:ascii="Calibri" w:hAnsi="Calibri" w:cs="Calibri"/>
        </w:rPr>
      </w:pPr>
      <w:r w:rsidRPr="00F642D0">
        <w:rPr>
          <w:rFonts w:ascii="Calibri" w:hAnsi="Calibri" w:cs="Calibri"/>
          <w:b/>
        </w:rPr>
        <w:t xml:space="preserve">It is </w:t>
      </w:r>
      <w:r w:rsidRPr="00F642D0">
        <w:rPr>
          <w:rFonts w:ascii="Calibri" w:hAnsi="Calibri" w:cs="Calibri"/>
          <w:b/>
          <w:u w:val="single" w:color="000000"/>
        </w:rPr>
        <w:t>not</w:t>
      </w:r>
      <w:r w:rsidRPr="00F642D0">
        <w:rPr>
          <w:rFonts w:ascii="Calibri" w:hAnsi="Calibri" w:cs="Calibri"/>
          <w:b/>
        </w:rPr>
        <w:t xml:space="preserve"> necessary to meet all points listed below in order to apply.  We are very keen to hear from applicants who believe they are, in broad terms, a ‘good fit’ for the role as described.</w:t>
      </w:r>
      <w:r w:rsidRPr="00F642D0">
        <w:rPr>
          <w:rFonts w:ascii="Calibri" w:hAnsi="Calibri" w:cs="Calibri"/>
        </w:rPr>
        <w:t xml:space="preserve"> </w:t>
      </w:r>
    </w:p>
    <w:p w14:paraId="11BD2792" w14:textId="412F4A93" w:rsidR="00195622" w:rsidRDefault="00195622" w:rsidP="00195622">
      <w:pPr>
        <w:rPr>
          <w:rFonts w:ascii="Calibri" w:hAnsi="Calibri" w:cs="Calibri"/>
        </w:rPr>
      </w:pPr>
      <w:r w:rsidRPr="009D2AA6">
        <w:rPr>
          <w:rFonts w:ascii="Calibri" w:hAnsi="Calibri" w:cs="Calibri"/>
        </w:rPr>
        <w:t>Applicants should describe in their applicatio</w:t>
      </w:r>
      <w:r>
        <w:rPr>
          <w:rFonts w:ascii="Calibri" w:hAnsi="Calibri" w:cs="Calibri"/>
        </w:rPr>
        <w:t>n how they meet these criteria.</w:t>
      </w:r>
    </w:p>
    <w:p w14:paraId="4E4CAE1D" w14:textId="77777777" w:rsidR="00E569E6" w:rsidRPr="009D2AA6" w:rsidRDefault="00E569E6" w:rsidP="00195622">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512"/>
      </w:tblGrid>
      <w:tr w:rsidR="00195622" w:rsidRPr="009D2AA6" w14:paraId="59C2D2A9" w14:textId="77777777" w:rsidTr="004F48C8">
        <w:tc>
          <w:tcPr>
            <w:tcW w:w="2802" w:type="dxa"/>
          </w:tcPr>
          <w:p w14:paraId="20A3CF2D" w14:textId="77777777" w:rsidR="00195622" w:rsidRPr="009D2AA6" w:rsidRDefault="00195622" w:rsidP="004F48C8">
            <w:pPr>
              <w:rPr>
                <w:rFonts w:ascii="Calibri" w:hAnsi="Calibri" w:cs="Calibri"/>
                <w:b/>
              </w:rPr>
            </w:pPr>
          </w:p>
        </w:tc>
        <w:tc>
          <w:tcPr>
            <w:tcW w:w="7512" w:type="dxa"/>
          </w:tcPr>
          <w:p w14:paraId="474FC199" w14:textId="77777777" w:rsidR="00195622" w:rsidRPr="009D2AA6" w:rsidRDefault="00195622" w:rsidP="004F48C8">
            <w:pPr>
              <w:rPr>
                <w:rFonts w:ascii="Calibri" w:hAnsi="Calibri" w:cs="Calibri"/>
                <w:b/>
              </w:rPr>
            </w:pPr>
            <w:r w:rsidRPr="009D2AA6">
              <w:rPr>
                <w:rFonts w:ascii="Calibri" w:hAnsi="Calibri" w:cs="Calibri"/>
                <w:b/>
              </w:rPr>
              <w:t xml:space="preserve">CRITERIA </w:t>
            </w:r>
          </w:p>
        </w:tc>
      </w:tr>
      <w:tr w:rsidR="00195622" w:rsidRPr="009D2AA6" w14:paraId="20CDD1A8" w14:textId="77777777" w:rsidTr="00195622">
        <w:trPr>
          <w:trHeight w:val="637"/>
        </w:trPr>
        <w:tc>
          <w:tcPr>
            <w:tcW w:w="2802" w:type="dxa"/>
          </w:tcPr>
          <w:p w14:paraId="2218938F" w14:textId="77777777" w:rsidR="00195622" w:rsidRPr="00195622" w:rsidRDefault="00195622" w:rsidP="004F48C8">
            <w:pPr>
              <w:rPr>
                <w:rFonts w:ascii="Calibri" w:hAnsi="Calibri" w:cs="Calibri"/>
                <w:i/>
              </w:rPr>
            </w:pPr>
            <w:r w:rsidRPr="009D2AA6">
              <w:rPr>
                <w:rFonts w:ascii="Calibri" w:hAnsi="Calibri" w:cs="Calibri"/>
                <w:b/>
              </w:rPr>
              <w:t>QUALIFICATIONS</w:t>
            </w:r>
          </w:p>
        </w:tc>
        <w:tc>
          <w:tcPr>
            <w:tcW w:w="7512" w:type="dxa"/>
          </w:tcPr>
          <w:p w14:paraId="23E19996" w14:textId="77777777" w:rsidR="00195622" w:rsidRPr="009D2AA6" w:rsidRDefault="00195622" w:rsidP="00195622">
            <w:pPr>
              <w:numPr>
                <w:ilvl w:val="0"/>
                <w:numId w:val="14"/>
              </w:numPr>
              <w:spacing w:after="0" w:line="240" w:lineRule="auto"/>
              <w:rPr>
                <w:rFonts w:ascii="Calibri" w:hAnsi="Calibri" w:cs="Calibri"/>
              </w:rPr>
            </w:pPr>
            <w:r w:rsidRPr="009D2AA6">
              <w:rPr>
                <w:rFonts w:ascii="Calibri" w:hAnsi="Calibri" w:cs="Calibri"/>
              </w:rPr>
              <w:t>GCSE Maths and English</w:t>
            </w:r>
            <w:r>
              <w:rPr>
                <w:rFonts w:ascii="Calibri" w:hAnsi="Calibri" w:cs="Calibri"/>
              </w:rPr>
              <w:t xml:space="preserve"> or equivalent</w:t>
            </w:r>
          </w:p>
        </w:tc>
      </w:tr>
      <w:tr w:rsidR="00195622" w:rsidRPr="009D2AA6" w14:paraId="350FB0BD" w14:textId="77777777" w:rsidTr="004F48C8">
        <w:tc>
          <w:tcPr>
            <w:tcW w:w="2802" w:type="dxa"/>
          </w:tcPr>
          <w:p w14:paraId="12F0DC6C" w14:textId="77777777" w:rsidR="00195622" w:rsidRPr="009D2AA6" w:rsidRDefault="00195622" w:rsidP="004F48C8">
            <w:pPr>
              <w:rPr>
                <w:rFonts w:ascii="Calibri" w:hAnsi="Calibri" w:cs="Calibri"/>
                <w:b/>
              </w:rPr>
            </w:pPr>
            <w:r w:rsidRPr="009D2AA6">
              <w:rPr>
                <w:rFonts w:ascii="Calibri" w:hAnsi="Calibri" w:cs="Calibri"/>
                <w:b/>
              </w:rPr>
              <w:t>EXPERIENCE</w:t>
            </w:r>
          </w:p>
          <w:p w14:paraId="3D44CC2A" w14:textId="77777777" w:rsidR="00195622" w:rsidRPr="009D2AA6" w:rsidRDefault="00195622" w:rsidP="004F48C8">
            <w:pPr>
              <w:rPr>
                <w:rFonts w:ascii="Calibri" w:hAnsi="Calibri" w:cs="Calibri"/>
                <w:b/>
              </w:rPr>
            </w:pPr>
          </w:p>
        </w:tc>
        <w:tc>
          <w:tcPr>
            <w:tcW w:w="7512" w:type="dxa"/>
          </w:tcPr>
          <w:p w14:paraId="13593230" w14:textId="77777777" w:rsidR="00195622" w:rsidRPr="009D2AA6" w:rsidRDefault="00195622" w:rsidP="00195622">
            <w:pPr>
              <w:numPr>
                <w:ilvl w:val="0"/>
                <w:numId w:val="13"/>
              </w:numPr>
              <w:spacing w:after="0" w:line="240" w:lineRule="auto"/>
              <w:rPr>
                <w:rFonts w:ascii="Calibri" w:hAnsi="Calibri" w:cs="Calibri"/>
              </w:rPr>
            </w:pPr>
            <w:r w:rsidRPr="009D2AA6">
              <w:rPr>
                <w:rFonts w:ascii="Calibri" w:hAnsi="Calibri" w:cs="Calibri"/>
              </w:rPr>
              <w:t>Previous administration experience</w:t>
            </w:r>
          </w:p>
          <w:p w14:paraId="5FE7277D" w14:textId="77777777" w:rsidR="00195622" w:rsidRPr="009D2AA6" w:rsidRDefault="00195622" w:rsidP="00195622">
            <w:pPr>
              <w:numPr>
                <w:ilvl w:val="0"/>
                <w:numId w:val="13"/>
              </w:numPr>
              <w:spacing w:after="0" w:line="240" w:lineRule="auto"/>
              <w:rPr>
                <w:rFonts w:ascii="Calibri" w:hAnsi="Calibri" w:cs="Calibri"/>
              </w:rPr>
            </w:pPr>
            <w:r w:rsidRPr="009D2AA6">
              <w:rPr>
                <w:rFonts w:ascii="Calibri" w:hAnsi="Calibri" w:cs="Calibri"/>
              </w:rPr>
              <w:t>Previous PA experience (desirable but not essential)</w:t>
            </w:r>
          </w:p>
          <w:p w14:paraId="2DE94F44" w14:textId="77777777" w:rsidR="00195622" w:rsidRDefault="00195622" w:rsidP="00195622">
            <w:pPr>
              <w:numPr>
                <w:ilvl w:val="0"/>
                <w:numId w:val="13"/>
              </w:numPr>
              <w:spacing w:after="0" w:line="240" w:lineRule="auto"/>
              <w:rPr>
                <w:rFonts w:ascii="Calibri" w:hAnsi="Calibri" w:cs="Calibri"/>
              </w:rPr>
            </w:pPr>
            <w:r w:rsidRPr="009D2AA6">
              <w:rPr>
                <w:rFonts w:ascii="Calibri" w:hAnsi="Calibri" w:cs="Calibri"/>
              </w:rPr>
              <w:t>Operational experience of administrative systems</w:t>
            </w:r>
          </w:p>
          <w:p w14:paraId="41E2CE43" w14:textId="62423720" w:rsidR="00E569E6" w:rsidRPr="009D2AA6" w:rsidRDefault="00E569E6" w:rsidP="00195622">
            <w:pPr>
              <w:numPr>
                <w:ilvl w:val="0"/>
                <w:numId w:val="13"/>
              </w:numPr>
              <w:spacing w:after="0" w:line="240" w:lineRule="auto"/>
              <w:rPr>
                <w:rFonts w:ascii="Calibri" w:hAnsi="Calibri" w:cs="Calibri"/>
              </w:rPr>
            </w:pPr>
            <w:r>
              <w:rPr>
                <w:rFonts w:ascii="Calibri" w:hAnsi="Calibri" w:cs="Calibri"/>
              </w:rPr>
              <w:t>Experience of working in an educational setting</w:t>
            </w:r>
          </w:p>
        </w:tc>
      </w:tr>
      <w:tr w:rsidR="00195622" w:rsidRPr="009D2AA6" w14:paraId="66CA9BE0" w14:textId="77777777" w:rsidTr="004F48C8">
        <w:tc>
          <w:tcPr>
            <w:tcW w:w="2802" w:type="dxa"/>
          </w:tcPr>
          <w:p w14:paraId="35FC18AE" w14:textId="77777777" w:rsidR="00195622" w:rsidRPr="009D2AA6" w:rsidRDefault="00195622" w:rsidP="004F48C8">
            <w:pPr>
              <w:rPr>
                <w:rFonts w:ascii="Calibri" w:hAnsi="Calibri" w:cs="Calibri"/>
                <w:b/>
              </w:rPr>
            </w:pPr>
            <w:r w:rsidRPr="009D2AA6">
              <w:rPr>
                <w:rFonts w:ascii="Calibri" w:hAnsi="Calibri" w:cs="Calibri"/>
                <w:b/>
              </w:rPr>
              <w:t>SKILLS AND ABILITIES</w:t>
            </w:r>
          </w:p>
          <w:p w14:paraId="234B92C5" w14:textId="77777777" w:rsidR="00195622" w:rsidRPr="009D2AA6" w:rsidRDefault="00195622" w:rsidP="004F48C8">
            <w:pPr>
              <w:rPr>
                <w:rFonts w:ascii="Calibri" w:hAnsi="Calibri" w:cs="Calibri"/>
                <w:b/>
              </w:rPr>
            </w:pPr>
          </w:p>
          <w:p w14:paraId="254A54F4" w14:textId="77777777" w:rsidR="00195622" w:rsidRPr="009D2AA6" w:rsidRDefault="00195622" w:rsidP="004F48C8">
            <w:pPr>
              <w:rPr>
                <w:rFonts w:ascii="Calibri" w:hAnsi="Calibri" w:cs="Calibri"/>
                <w:b/>
              </w:rPr>
            </w:pPr>
          </w:p>
          <w:p w14:paraId="2FA9CFC3" w14:textId="77777777" w:rsidR="00195622" w:rsidRPr="009D2AA6" w:rsidRDefault="00195622" w:rsidP="004F48C8">
            <w:pPr>
              <w:rPr>
                <w:rFonts w:ascii="Calibri" w:hAnsi="Calibri" w:cs="Calibri"/>
                <w:b/>
              </w:rPr>
            </w:pPr>
          </w:p>
          <w:p w14:paraId="20942B62" w14:textId="77777777" w:rsidR="00195622" w:rsidRPr="009D2AA6" w:rsidRDefault="00195622" w:rsidP="004F48C8">
            <w:pPr>
              <w:rPr>
                <w:rFonts w:ascii="Calibri" w:hAnsi="Calibri" w:cs="Calibri"/>
                <w:b/>
              </w:rPr>
            </w:pPr>
          </w:p>
          <w:p w14:paraId="6F510346" w14:textId="77777777" w:rsidR="00195622" w:rsidRPr="009D2AA6" w:rsidRDefault="00195622" w:rsidP="004F48C8">
            <w:pPr>
              <w:rPr>
                <w:rFonts w:ascii="Calibri" w:hAnsi="Calibri" w:cs="Calibri"/>
                <w:b/>
              </w:rPr>
            </w:pPr>
          </w:p>
          <w:p w14:paraId="11F788DF" w14:textId="77777777" w:rsidR="00195622" w:rsidRPr="009D2AA6" w:rsidRDefault="00195622" w:rsidP="004F48C8">
            <w:pPr>
              <w:rPr>
                <w:rFonts w:ascii="Calibri" w:hAnsi="Calibri" w:cs="Calibri"/>
                <w:b/>
              </w:rPr>
            </w:pPr>
          </w:p>
          <w:p w14:paraId="604A90FA" w14:textId="77777777" w:rsidR="00195622" w:rsidRPr="009D2AA6" w:rsidRDefault="00195622" w:rsidP="004F48C8">
            <w:pPr>
              <w:rPr>
                <w:rFonts w:ascii="Calibri" w:hAnsi="Calibri" w:cs="Calibri"/>
                <w:b/>
              </w:rPr>
            </w:pPr>
          </w:p>
        </w:tc>
        <w:tc>
          <w:tcPr>
            <w:tcW w:w="7512" w:type="dxa"/>
          </w:tcPr>
          <w:p w14:paraId="27A8A8FA"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Computer literacy – ability to produce a range of accurate documents and standardised reports using Windows WP package and basic spreadsheet and database functions.</w:t>
            </w:r>
          </w:p>
          <w:p w14:paraId="0C6756B7"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work in an organised and methodical manner and maintain accurate records.</w:t>
            </w:r>
          </w:p>
          <w:p w14:paraId="7376606D"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work with confidential and sensitive information.</w:t>
            </w:r>
          </w:p>
          <w:p w14:paraId="1F5E2D69"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 xml:space="preserve">Ability to work effectively and supportively as a member of </w:t>
            </w:r>
            <w:r>
              <w:rPr>
                <w:rFonts w:ascii="Calibri" w:hAnsi="Calibri" w:cs="Calibri"/>
              </w:rPr>
              <w:t>a</w:t>
            </w:r>
            <w:r w:rsidRPr="009D2AA6">
              <w:rPr>
                <w:rFonts w:ascii="Calibri" w:hAnsi="Calibri" w:cs="Calibri"/>
              </w:rPr>
              <w:t xml:space="preserve"> team.</w:t>
            </w:r>
          </w:p>
          <w:p w14:paraId="7B00D9B3"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organise and prioritise workload to achieve deadlines.</w:t>
            </w:r>
          </w:p>
          <w:p w14:paraId="6AACAFF2"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Able to deal professionally, calmly, tactfully and effectively to a wide range of people.</w:t>
            </w:r>
          </w:p>
          <w:p w14:paraId="7DE6C3EE"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communicate effectively and in a courteous manner, in person, in writing and over the telephone.</w:t>
            </w:r>
          </w:p>
          <w:p w14:paraId="18F78CAE"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receive and assess information over the telephone, by email or in person and refer to the appropriate person or source of information.</w:t>
            </w:r>
          </w:p>
          <w:p w14:paraId="6BDCB591"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investigate queries and anomalies when required.</w:t>
            </w:r>
          </w:p>
          <w:p w14:paraId="0D2E6B06" w14:textId="77777777" w:rsidR="00195622" w:rsidRPr="009D2AA6" w:rsidRDefault="00195622" w:rsidP="00195622">
            <w:pPr>
              <w:numPr>
                <w:ilvl w:val="0"/>
                <w:numId w:val="11"/>
              </w:numPr>
              <w:spacing w:after="0" w:line="240" w:lineRule="auto"/>
              <w:rPr>
                <w:rFonts w:ascii="Calibri" w:hAnsi="Calibri" w:cs="Calibri"/>
              </w:rPr>
            </w:pPr>
            <w:r w:rsidRPr="009D2AA6">
              <w:rPr>
                <w:rFonts w:ascii="Calibri" w:hAnsi="Calibri" w:cs="Calibri"/>
              </w:rPr>
              <w:t>Ability to operate computerised and manual filing systems and to make improvements where necessary.</w:t>
            </w:r>
          </w:p>
          <w:p w14:paraId="48CC75A8" w14:textId="77777777" w:rsidR="00195622" w:rsidRPr="00195622" w:rsidRDefault="00195622" w:rsidP="00195622">
            <w:pPr>
              <w:numPr>
                <w:ilvl w:val="0"/>
                <w:numId w:val="11"/>
              </w:numPr>
              <w:spacing w:after="0" w:line="240" w:lineRule="auto"/>
              <w:rPr>
                <w:rFonts w:ascii="Calibri" w:hAnsi="Calibri" w:cs="Calibri"/>
              </w:rPr>
            </w:pPr>
            <w:r w:rsidRPr="009D2AA6">
              <w:rPr>
                <w:rFonts w:ascii="Calibri" w:hAnsi="Calibri" w:cs="Calibri"/>
              </w:rPr>
              <w:t>Co-ordination skills when arranging meetings and appointments.</w:t>
            </w:r>
          </w:p>
        </w:tc>
      </w:tr>
      <w:tr w:rsidR="00195622" w:rsidRPr="009D2AA6" w14:paraId="73ACC117" w14:textId="77777777" w:rsidTr="004F48C8">
        <w:tc>
          <w:tcPr>
            <w:tcW w:w="2802" w:type="dxa"/>
          </w:tcPr>
          <w:p w14:paraId="05CAC528" w14:textId="77777777" w:rsidR="00195622" w:rsidRPr="009D2AA6" w:rsidRDefault="00195622" w:rsidP="004F48C8">
            <w:pPr>
              <w:rPr>
                <w:rFonts w:ascii="Calibri" w:hAnsi="Calibri" w:cs="Calibri"/>
                <w:b/>
              </w:rPr>
            </w:pPr>
            <w:r>
              <w:rPr>
                <w:rFonts w:ascii="Calibri" w:hAnsi="Calibri" w:cs="Calibri"/>
                <w:b/>
              </w:rPr>
              <w:lastRenderedPageBreak/>
              <w:t>KNOWLEDGE</w:t>
            </w:r>
          </w:p>
        </w:tc>
        <w:tc>
          <w:tcPr>
            <w:tcW w:w="7512" w:type="dxa"/>
          </w:tcPr>
          <w:p w14:paraId="664067E9" w14:textId="77777777" w:rsidR="00E569E6" w:rsidRDefault="00195622" w:rsidP="00E569E6">
            <w:pPr>
              <w:numPr>
                <w:ilvl w:val="0"/>
                <w:numId w:val="12"/>
              </w:numPr>
              <w:spacing w:after="0" w:line="240" w:lineRule="auto"/>
              <w:rPr>
                <w:rFonts w:ascii="Calibri" w:hAnsi="Calibri" w:cs="Calibri"/>
              </w:rPr>
            </w:pPr>
            <w:r w:rsidRPr="009D2AA6">
              <w:rPr>
                <w:rFonts w:ascii="Calibri" w:hAnsi="Calibri" w:cs="Calibri"/>
              </w:rPr>
              <w:t>Requires knowledge and procedures for a range of administration activities including k</w:t>
            </w:r>
            <w:r>
              <w:rPr>
                <w:rFonts w:ascii="Calibri" w:hAnsi="Calibri" w:cs="Calibri"/>
              </w:rPr>
              <w:t xml:space="preserve">nowledge of various IT packages </w:t>
            </w:r>
            <w:r w:rsidRPr="00195622">
              <w:rPr>
                <w:rFonts w:ascii="Calibri" w:hAnsi="Calibri" w:cs="Calibri"/>
              </w:rPr>
              <w:t>and computerised and manual filing systems.</w:t>
            </w:r>
          </w:p>
          <w:p w14:paraId="4EFA4EC5" w14:textId="6BD3D220" w:rsidR="00E569E6" w:rsidRPr="00E569E6" w:rsidRDefault="00E569E6" w:rsidP="00E569E6">
            <w:pPr>
              <w:numPr>
                <w:ilvl w:val="0"/>
                <w:numId w:val="12"/>
              </w:numPr>
              <w:spacing w:after="0" w:line="240" w:lineRule="auto"/>
              <w:rPr>
                <w:rFonts w:ascii="Calibri" w:hAnsi="Calibri" w:cs="Calibri"/>
              </w:rPr>
            </w:pPr>
            <w:r>
              <w:rPr>
                <w:rFonts w:ascii="Calibri" w:hAnsi="Calibri" w:cs="Calibri"/>
              </w:rPr>
              <w:t>Knowledge of the educational system and knowledge of teacher training systems and requirements (desired but not essential)</w:t>
            </w:r>
          </w:p>
        </w:tc>
      </w:tr>
    </w:tbl>
    <w:p w14:paraId="45789447" w14:textId="77777777" w:rsidR="00195622" w:rsidRDefault="00195622" w:rsidP="004F189E">
      <w:pPr>
        <w:spacing w:after="0" w:line="240" w:lineRule="auto"/>
        <w:jc w:val="both"/>
      </w:pPr>
    </w:p>
    <w:p w14:paraId="4D853BC8" w14:textId="77777777" w:rsidR="008226A5" w:rsidRDefault="008226A5" w:rsidP="00B13D50">
      <w:pPr>
        <w:rPr>
          <w:rFonts w:ascii="Calibri" w:hAnsi="Calibri" w:cs="Calibri"/>
        </w:rPr>
      </w:pPr>
    </w:p>
    <w:p w14:paraId="15E48137" w14:textId="77777777" w:rsidR="008226A5" w:rsidRDefault="008226A5" w:rsidP="00B13D50">
      <w:pPr>
        <w:rPr>
          <w:rFonts w:ascii="Calibri" w:hAnsi="Calibri" w:cs="Calibri"/>
        </w:rPr>
      </w:pPr>
    </w:p>
    <w:p w14:paraId="306E0CF2" w14:textId="77777777" w:rsidR="008226A5" w:rsidRDefault="008226A5" w:rsidP="00B13D50">
      <w:pPr>
        <w:rPr>
          <w:rFonts w:ascii="Calibri" w:hAnsi="Calibri" w:cs="Calibri"/>
        </w:rPr>
      </w:pPr>
    </w:p>
    <w:p w14:paraId="3DDD4AA0" w14:textId="08F35F15" w:rsidR="00B13D50" w:rsidRPr="00B13D50" w:rsidRDefault="00B13D50" w:rsidP="00B13D50">
      <w:pPr>
        <w:rPr>
          <w:rFonts w:ascii="Calibri" w:hAnsi="Calibri" w:cs="Calibri"/>
        </w:rPr>
      </w:pPr>
      <w:r w:rsidRPr="00B13D50">
        <w:rPr>
          <w:rFonts w:ascii="Calibri" w:hAnsi="Calibri" w:cs="Calibri"/>
        </w:rPr>
        <w:t>This job description describes in general terms the normal duties which the post-holder will be expected to undertake. However, the job or duties described may vary or be amended from time to time without changing the level of responsibility associated with the po</w:t>
      </w:r>
      <w:r>
        <w:rPr>
          <w:rFonts w:ascii="Calibri" w:hAnsi="Calibri" w:cs="Calibri"/>
        </w:rPr>
        <w:t xml:space="preserve">st. </w:t>
      </w:r>
    </w:p>
    <w:p w14:paraId="6D84A600" w14:textId="77777777" w:rsidR="00B13D50" w:rsidRPr="00B13D50" w:rsidRDefault="00B13D50" w:rsidP="00B13D50">
      <w:pPr>
        <w:rPr>
          <w:rFonts w:ascii="Calibri" w:hAnsi="Calibri" w:cs="Calibri"/>
        </w:rPr>
      </w:pPr>
      <w:r w:rsidRPr="00B13D50">
        <w:rPr>
          <w:rFonts w:ascii="Calibri" w:hAnsi="Calibri" w:cs="Calibri"/>
        </w:rPr>
        <w:t xml:space="preserve">The </w:t>
      </w:r>
      <w:r>
        <w:rPr>
          <w:rFonts w:ascii="Calibri" w:hAnsi="Calibri" w:cs="Calibri"/>
        </w:rPr>
        <w:t xml:space="preserve">Tenax Schools Trust </w:t>
      </w:r>
      <w:r w:rsidRPr="00B13D50">
        <w:rPr>
          <w:rFonts w:ascii="Calibri" w:hAnsi="Calibri" w:cs="Calibri"/>
        </w:rPr>
        <w:t>is committed to safeguarding and promoting the welfare of children and young people and expects all staff and volunteers to share this commitment.</w:t>
      </w:r>
      <w:r>
        <w:rPr>
          <w:rFonts w:ascii="Calibri" w:hAnsi="Calibri" w:cs="Calibri"/>
        </w:rPr>
        <w:t xml:space="preserve">  </w:t>
      </w:r>
      <w:r w:rsidRPr="00F03C67">
        <w:rPr>
          <w:rFonts w:ascii="Calibri" w:hAnsi="Calibri" w:cs="Calibri"/>
        </w:rPr>
        <w:t xml:space="preserve">All posts are subject to </w:t>
      </w:r>
      <w:r>
        <w:rPr>
          <w:rFonts w:ascii="Calibri" w:hAnsi="Calibri" w:cs="Calibri"/>
        </w:rPr>
        <w:t xml:space="preserve">vetting checks and </w:t>
      </w:r>
      <w:r w:rsidRPr="00F03C67">
        <w:rPr>
          <w:rFonts w:ascii="Calibri" w:hAnsi="Calibri" w:cs="Calibri"/>
        </w:rPr>
        <w:t>a satisfactory enhanced Disclosure and Barring Service check</w:t>
      </w:r>
      <w:r>
        <w:rPr>
          <w:rFonts w:ascii="Calibri" w:hAnsi="Calibri" w:cs="Calibri"/>
        </w:rPr>
        <w:t>.</w:t>
      </w:r>
    </w:p>
    <w:p w14:paraId="14E151F4" w14:textId="77777777" w:rsidR="00B13D50" w:rsidRPr="009C0180" w:rsidRDefault="00B13D50" w:rsidP="004F189E">
      <w:pPr>
        <w:spacing w:after="0" w:line="240" w:lineRule="auto"/>
        <w:jc w:val="both"/>
      </w:pPr>
    </w:p>
    <w:sectPr w:rsidR="00B13D50" w:rsidRPr="009C0180" w:rsidSect="009C0180">
      <w:head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AE23" w14:textId="77777777" w:rsidR="00B3683A" w:rsidRDefault="00B3683A" w:rsidP="00B239A1">
      <w:pPr>
        <w:spacing w:after="0" w:line="240" w:lineRule="auto"/>
      </w:pPr>
      <w:r>
        <w:separator/>
      </w:r>
    </w:p>
  </w:endnote>
  <w:endnote w:type="continuationSeparator" w:id="0">
    <w:p w14:paraId="52B7B8C5" w14:textId="77777777" w:rsidR="00B3683A" w:rsidRDefault="00B3683A" w:rsidP="00B2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D2DF" w14:textId="77777777" w:rsidR="00B3683A" w:rsidRDefault="00B3683A" w:rsidP="00B239A1">
      <w:pPr>
        <w:spacing w:after="0" w:line="240" w:lineRule="auto"/>
      </w:pPr>
      <w:r>
        <w:separator/>
      </w:r>
    </w:p>
  </w:footnote>
  <w:footnote w:type="continuationSeparator" w:id="0">
    <w:p w14:paraId="77A4C1FF" w14:textId="77777777" w:rsidR="00B3683A" w:rsidRDefault="00B3683A" w:rsidP="00B2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7C8B" w14:textId="77777777" w:rsidR="00293DCB" w:rsidRDefault="00293DCB">
    <w:pPr>
      <w:pStyle w:val="Header"/>
    </w:pPr>
    <w:r>
      <w:rPr>
        <w:noProof/>
        <w:lang w:eastAsia="en-GB"/>
      </w:rPr>
      <w:drawing>
        <wp:anchor distT="0" distB="0" distL="114300" distR="114300" simplePos="0" relativeHeight="251658240" behindDoc="1" locked="0" layoutInCell="1" allowOverlap="1" wp14:anchorId="0836358C" wp14:editId="22B100A5">
          <wp:simplePos x="0" y="0"/>
          <wp:positionH relativeFrom="margin">
            <wp:posOffset>4707255</wp:posOffset>
          </wp:positionH>
          <wp:positionV relativeFrom="paragraph">
            <wp:posOffset>-440690</wp:posOffset>
          </wp:positionV>
          <wp:extent cx="2085340" cy="923925"/>
          <wp:effectExtent l="0" t="0" r="0" b="9525"/>
          <wp:wrapTight wrapText="bothSides">
            <wp:wrapPolygon edited="0">
              <wp:start x="0" y="0"/>
              <wp:lineTo x="0" y="21377"/>
              <wp:lineTo x="21311" y="21377"/>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340" cy="923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B728A09" wp14:editId="74268223">
          <wp:simplePos x="0" y="0"/>
          <wp:positionH relativeFrom="column">
            <wp:posOffset>-710565</wp:posOffset>
          </wp:positionH>
          <wp:positionV relativeFrom="paragraph">
            <wp:posOffset>-440690</wp:posOffset>
          </wp:positionV>
          <wp:extent cx="1657350" cy="999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994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11"/>
    <w:multiLevelType w:val="hybridMultilevel"/>
    <w:tmpl w:val="CB2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2ABA"/>
    <w:multiLevelType w:val="hybridMultilevel"/>
    <w:tmpl w:val="76AA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AC6259"/>
    <w:multiLevelType w:val="hybridMultilevel"/>
    <w:tmpl w:val="7DB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E7A0F"/>
    <w:multiLevelType w:val="hybridMultilevel"/>
    <w:tmpl w:val="CB1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5E1A"/>
    <w:multiLevelType w:val="hybridMultilevel"/>
    <w:tmpl w:val="580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1018F"/>
    <w:multiLevelType w:val="hybridMultilevel"/>
    <w:tmpl w:val="DFBE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394784"/>
    <w:multiLevelType w:val="hybridMultilevel"/>
    <w:tmpl w:val="B386CC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975678"/>
    <w:multiLevelType w:val="hybridMultilevel"/>
    <w:tmpl w:val="EE2467FC"/>
    <w:lvl w:ilvl="0" w:tplc="43D23100">
      <w:start w:val="1"/>
      <w:numFmt w:val="bullet"/>
      <w:lvlText w:val=""/>
      <w:lvlJc w:val="left"/>
      <w:pPr>
        <w:tabs>
          <w:tab w:val="num" w:pos="454"/>
        </w:tabs>
        <w:ind w:left="454" w:hanging="31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62D54"/>
    <w:multiLevelType w:val="hybridMultilevel"/>
    <w:tmpl w:val="6CBE16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A404846"/>
    <w:multiLevelType w:val="hybridMultilevel"/>
    <w:tmpl w:val="264C8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74A22"/>
    <w:multiLevelType w:val="hybridMultilevel"/>
    <w:tmpl w:val="4BC8B5AA"/>
    <w:lvl w:ilvl="0" w:tplc="10945990">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A23B9"/>
    <w:multiLevelType w:val="hybridMultilevel"/>
    <w:tmpl w:val="4C4A3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974814"/>
    <w:multiLevelType w:val="multilevel"/>
    <w:tmpl w:val="E584A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553D2"/>
    <w:multiLevelType w:val="hybridMultilevel"/>
    <w:tmpl w:val="55725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2"/>
  </w:num>
  <w:num w:numId="5">
    <w:abstractNumId w:val="10"/>
  </w:num>
  <w:num w:numId="6">
    <w:abstractNumId w:val="5"/>
  </w:num>
  <w:num w:numId="7">
    <w:abstractNumId w:val="1"/>
  </w:num>
  <w:num w:numId="8">
    <w:abstractNumId w:val="11"/>
  </w:num>
  <w:num w:numId="9">
    <w:abstractNumId w:val="3"/>
  </w:num>
  <w:num w:numId="10">
    <w:abstractNumId w:val="15"/>
  </w:num>
  <w:num w:numId="11">
    <w:abstractNumId w:val="7"/>
  </w:num>
  <w:num w:numId="12">
    <w:abstractNumId w:val="2"/>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66"/>
    <w:rsid w:val="00004292"/>
    <w:rsid w:val="00016A4E"/>
    <w:rsid w:val="00022EA2"/>
    <w:rsid w:val="000555CB"/>
    <w:rsid w:val="00092833"/>
    <w:rsid w:val="001351F6"/>
    <w:rsid w:val="00162F01"/>
    <w:rsid w:val="001814F8"/>
    <w:rsid w:val="001875B3"/>
    <w:rsid w:val="00195622"/>
    <w:rsid w:val="001B1D4E"/>
    <w:rsid w:val="001B756C"/>
    <w:rsid w:val="001D09CF"/>
    <w:rsid w:val="001E7DBE"/>
    <w:rsid w:val="00263738"/>
    <w:rsid w:val="002775E9"/>
    <w:rsid w:val="00286A6B"/>
    <w:rsid w:val="00293DCB"/>
    <w:rsid w:val="002B251A"/>
    <w:rsid w:val="00335BBF"/>
    <w:rsid w:val="00377F25"/>
    <w:rsid w:val="00383214"/>
    <w:rsid w:val="003F74C4"/>
    <w:rsid w:val="00431410"/>
    <w:rsid w:val="00446815"/>
    <w:rsid w:val="00454D7A"/>
    <w:rsid w:val="004A171E"/>
    <w:rsid w:val="004B3A71"/>
    <w:rsid w:val="004D772B"/>
    <w:rsid w:val="004E0EA7"/>
    <w:rsid w:val="004F189E"/>
    <w:rsid w:val="00533552"/>
    <w:rsid w:val="00583B88"/>
    <w:rsid w:val="005E7A4F"/>
    <w:rsid w:val="00615B78"/>
    <w:rsid w:val="00647F78"/>
    <w:rsid w:val="00673A24"/>
    <w:rsid w:val="006B3A3F"/>
    <w:rsid w:val="006E2140"/>
    <w:rsid w:val="007040EF"/>
    <w:rsid w:val="007078D2"/>
    <w:rsid w:val="007932D3"/>
    <w:rsid w:val="007C2355"/>
    <w:rsid w:val="00817998"/>
    <w:rsid w:val="008226A5"/>
    <w:rsid w:val="008249B8"/>
    <w:rsid w:val="0082521A"/>
    <w:rsid w:val="008938FF"/>
    <w:rsid w:val="008B0F20"/>
    <w:rsid w:val="00910974"/>
    <w:rsid w:val="00937373"/>
    <w:rsid w:val="00940F4A"/>
    <w:rsid w:val="00972F51"/>
    <w:rsid w:val="009750FF"/>
    <w:rsid w:val="00977761"/>
    <w:rsid w:val="00996869"/>
    <w:rsid w:val="00997D53"/>
    <w:rsid w:val="009A7E1D"/>
    <w:rsid w:val="009B0E33"/>
    <w:rsid w:val="009C0180"/>
    <w:rsid w:val="009E6360"/>
    <w:rsid w:val="00A50106"/>
    <w:rsid w:val="00A91CF9"/>
    <w:rsid w:val="00AD5E84"/>
    <w:rsid w:val="00AD77CD"/>
    <w:rsid w:val="00B13D50"/>
    <w:rsid w:val="00B143FB"/>
    <w:rsid w:val="00B239A1"/>
    <w:rsid w:val="00B3683A"/>
    <w:rsid w:val="00B43420"/>
    <w:rsid w:val="00B558FA"/>
    <w:rsid w:val="00B719A3"/>
    <w:rsid w:val="00BE4168"/>
    <w:rsid w:val="00BE55E6"/>
    <w:rsid w:val="00C268F0"/>
    <w:rsid w:val="00C51067"/>
    <w:rsid w:val="00C91843"/>
    <w:rsid w:val="00C97435"/>
    <w:rsid w:val="00CB148E"/>
    <w:rsid w:val="00CC794B"/>
    <w:rsid w:val="00CD1120"/>
    <w:rsid w:val="00D12941"/>
    <w:rsid w:val="00D20F06"/>
    <w:rsid w:val="00D2756E"/>
    <w:rsid w:val="00D33571"/>
    <w:rsid w:val="00D516BE"/>
    <w:rsid w:val="00DE620E"/>
    <w:rsid w:val="00E51E6A"/>
    <w:rsid w:val="00E569E6"/>
    <w:rsid w:val="00E90066"/>
    <w:rsid w:val="00EC7565"/>
    <w:rsid w:val="00EF0D3F"/>
    <w:rsid w:val="00EF4BDA"/>
    <w:rsid w:val="00EF7420"/>
    <w:rsid w:val="00F5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5A439"/>
  <w15:chartTrackingRefBased/>
  <w15:docId w15:val="{FA753C7F-8A60-48C3-9D00-B1BAF632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66"/>
    <w:pPr>
      <w:spacing w:after="0" w:line="240" w:lineRule="auto"/>
      <w:ind w:left="720"/>
      <w:contextualSpacing/>
    </w:pPr>
    <w:rPr>
      <w:rFonts w:ascii="Calibri" w:hAnsi="Calibri" w:cs="Times New Roman"/>
    </w:rPr>
  </w:style>
  <w:style w:type="paragraph" w:customStyle="1" w:styleId="xxmsonormal">
    <w:name w:val="x_xmsonormal"/>
    <w:basedOn w:val="Normal"/>
    <w:rsid w:val="007078D2"/>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7078D2"/>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C0180"/>
    <w:rPr>
      <w:color w:val="0563C1" w:themeColor="hyperlink"/>
      <w:u w:val="single"/>
    </w:rPr>
  </w:style>
  <w:style w:type="paragraph" w:customStyle="1" w:styleId="Default">
    <w:name w:val="Default"/>
    <w:rsid w:val="004F189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B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1"/>
  </w:style>
  <w:style w:type="paragraph" w:styleId="Footer">
    <w:name w:val="footer"/>
    <w:basedOn w:val="Normal"/>
    <w:link w:val="FooterChar"/>
    <w:uiPriority w:val="99"/>
    <w:unhideWhenUsed/>
    <w:rsid w:val="00B23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1"/>
  </w:style>
  <w:style w:type="character" w:customStyle="1" w:styleId="UnresolvedMention1">
    <w:name w:val="Unresolved Mention1"/>
    <w:basedOn w:val="DefaultParagraphFont"/>
    <w:uiPriority w:val="99"/>
    <w:semiHidden/>
    <w:unhideWhenUsed/>
    <w:rsid w:val="004D772B"/>
    <w:rPr>
      <w:color w:val="605E5C"/>
      <w:shd w:val="clear" w:color="auto" w:fill="E1DFDD"/>
    </w:rPr>
  </w:style>
  <w:style w:type="character" w:customStyle="1" w:styleId="UnresolvedMention2">
    <w:name w:val="Unresolved Mention2"/>
    <w:basedOn w:val="DefaultParagraphFont"/>
    <w:uiPriority w:val="99"/>
    <w:semiHidden/>
    <w:unhideWhenUsed/>
    <w:rsid w:val="00AD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5861">
      <w:bodyDiv w:val="1"/>
      <w:marLeft w:val="0"/>
      <w:marRight w:val="0"/>
      <w:marTop w:val="0"/>
      <w:marBottom w:val="0"/>
      <w:divBdr>
        <w:top w:val="none" w:sz="0" w:space="0" w:color="auto"/>
        <w:left w:val="none" w:sz="0" w:space="0" w:color="auto"/>
        <w:bottom w:val="none" w:sz="0" w:space="0" w:color="auto"/>
        <w:right w:val="none" w:sz="0" w:space="0" w:color="auto"/>
      </w:divBdr>
    </w:div>
    <w:div w:id="20067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sh.org.uk/national-professional-qualif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7AF4-3E37-45EE-B884-38E14FEA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Tyson</dc:creator>
  <cp:keywords/>
  <dc:description/>
  <cp:lastModifiedBy>Richard Tyson</cp:lastModifiedBy>
  <cp:revision>2</cp:revision>
  <dcterms:created xsi:type="dcterms:W3CDTF">2022-01-04T15:41:00Z</dcterms:created>
  <dcterms:modified xsi:type="dcterms:W3CDTF">2022-01-04T15:41:00Z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