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-258445</wp:posOffset>
                </wp:positionH>
                <wp:positionV relativeFrom="paragraph">
                  <wp:posOffset>-291118</wp:posOffset>
                </wp:positionV>
                <wp:extent cx="6331406" cy="1963420"/>
                <wp:effectExtent l="19050" t="19050" r="12700"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406" cy="1963420"/>
                        </a:xfrm>
                        <a:prstGeom prst="roundRect">
                          <a:avLst>
                            <a:gd name="adj" fmla="val 16667"/>
                          </a:avLst>
                        </a:prstGeom>
                        <a:solidFill>
                          <a:srgbClr val="FFFFFF"/>
                        </a:solidFill>
                        <a:ln w="28575">
                          <a:solidFill>
                            <a:srgbClr val="002D86"/>
                          </a:solidFill>
                          <a:round/>
                          <a:headEnd/>
                          <a:tailEnd/>
                        </a:ln>
                      </wps:spPr>
                      <wps:txbx>
                        <w:txbxContent>
                          <w:p>
                            <w:pPr>
                              <w:jc w:val="center"/>
                              <w:rPr>
                                <w:rFonts w:eastAsia="Times New Roman" w:cs="Arial"/>
                                <w:b/>
                                <w:lang w:val="en-AU"/>
                              </w:rPr>
                            </w:pPr>
                            <w:r>
                              <w:rPr>
                                <w:rFonts w:eastAsia="Times New Roman" w:cs="Arial"/>
                                <w:b/>
                                <w:lang w:val="en-AU"/>
                              </w:rPr>
                              <w:t>HIGHWORTH GRAMMAR SCHOOL</w:t>
                            </w:r>
                          </w:p>
                          <w:p>
                            <w:pPr>
                              <w:jc w:val="center"/>
                              <w:rPr>
                                <w:rFonts w:eastAsia="Times New Roman" w:cs="Arial"/>
                                <w:lang w:val="en-AU"/>
                              </w:rPr>
                            </w:pPr>
                            <w:r>
                              <w:rPr>
                                <w:rFonts w:eastAsia="Times New Roman" w:cs="Arial"/>
                                <w:lang w:val="en-AU"/>
                              </w:rPr>
                              <w:t>Maidstone Road, Ashford, Kent TN24 8UD</w:t>
                            </w:r>
                          </w:p>
                          <w:p>
                            <w:pPr>
                              <w:jc w:val="center"/>
                              <w:rPr>
                                <w:rFonts w:eastAsia="Times New Roman" w:cs="Arial"/>
                                <w:lang w:val="en-AU"/>
                              </w:rPr>
                            </w:pPr>
                            <w:r>
                              <w:rPr>
                                <w:rFonts w:eastAsia="Times New Roman" w:cs="Arial"/>
                                <w:lang w:val="en-AU"/>
                              </w:rPr>
                              <w:t>Telephone: 01233 624910 Fax: 01233 612028</w:t>
                            </w:r>
                          </w:p>
                          <w:p>
                            <w:pPr>
                              <w:jc w:val="center"/>
                              <w:rPr>
                                <w:rFonts w:eastAsia="Times New Roman" w:cs="Arial"/>
                                <w:lang w:val="en-AU"/>
                              </w:rPr>
                            </w:pPr>
                            <w:r>
                              <w:rPr>
                                <w:rFonts w:eastAsia="Times New Roman" w:cs="Arial"/>
                                <w:lang w:val="en-AU"/>
                              </w:rPr>
                              <w:t xml:space="preserve">E-mail: </w:t>
                            </w:r>
                            <w:hyperlink r:id="rId9" w:history="1">
                              <w:r>
                                <w:rPr>
                                  <w:rStyle w:val="Hyperlink"/>
                                  <w:rFonts w:eastAsia="Times New Roman" w:cs="Arial"/>
                                  <w:lang w:val="en-AU"/>
                                </w:rPr>
                                <w:t>HR@highworth.kent.sch.uk</w:t>
                              </w:r>
                            </w:hyperlink>
                          </w:p>
                          <w:p>
                            <w:pPr>
                              <w:jc w:val="center"/>
                              <w:rPr>
                                <w:rFonts w:eastAsia="Times New Roman" w:cs="Arial"/>
                                <w:lang w:val="en-AU"/>
                              </w:rPr>
                            </w:pPr>
                            <w:r>
                              <w:rPr>
                                <w:rFonts w:eastAsia="Times New Roman" w:cs="Arial"/>
                                <w:lang w:val="en-AU"/>
                              </w:rPr>
                              <w:t xml:space="preserve">Website: </w:t>
                            </w:r>
                            <w:hyperlink r:id="rId10" w:history="1">
                              <w:r>
                                <w:rPr>
                                  <w:rFonts w:eastAsia="Times New Roman" w:cs="Arial"/>
                                  <w:color w:val="0000FF"/>
                                  <w:u w:val="single"/>
                                  <w:lang w:val="en-AU"/>
                                </w:rPr>
                                <w:t>www.highworth.kent.sch.uk</w:t>
                              </w:r>
                            </w:hyperlink>
                          </w:p>
                          <w:p>
                            <w:pPr>
                              <w:jc w:val="center"/>
                              <w:rPr>
                                <w:rFonts w:eastAsia="Times New Roman" w:cs="Arial"/>
                                <w:lang w:val="en-AU"/>
                              </w:rPr>
                            </w:pPr>
                          </w:p>
                          <w:p>
                            <w:pPr>
                              <w:keepNext/>
                              <w:jc w:val="center"/>
                              <w:outlineLvl w:val="0"/>
                              <w:rPr>
                                <w:rFonts w:eastAsia="Times New Roman"/>
                                <w:b/>
                                <w:i/>
                                <w:sz w:val="36"/>
                                <w:szCs w:val="20"/>
                                <w:lang w:eastAsia="en-GB"/>
                              </w:rPr>
                            </w:pPr>
                            <w:r>
                              <w:rPr>
                                <w:rFonts w:eastAsia="Times New Roman"/>
                                <w:b/>
                                <w:i/>
                                <w:sz w:val="36"/>
                                <w:szCs w:val="20"/>
                                <w:lang w:eastAsia="en-GB"/>
                              </w:rPr>
                              <w:t>Head of Dance (Maternity Cover)</w:t>
                            </w:r>
                          </w:p>
                          <w:p>
                            <w:pPr>
                              <w:keepNext/>
                              <w:jc w:val="center"/>
                              <w:outlineLvl w:val="0"/>
                              <w:rPr>
                                <w:rFonts w:eastAsia="Times New Roman"/>
                                <w:b/>
                                <w:sz w:val="32"/>
                                <w:szCs w:val="32"/>
                                <w:lang w:eastAsia="en-GB"/>
                              </w:rPr>
                            </w:pPr>
                            <w:r>
                              <w:rPr>
                                <w:rFonts w:eastAsia="Times New Roman"/>
                                <w:b/>
                                <w:sz w:val="32"/>
                                <w:szCs w:val="32"/>
                                <w:lang w:eastAsia="en-GB"/>
                              </w:rPr>
                              <w:t>FURTHER INFORMATION</w:t>
                            </w:r>
                          </w:p>
                          <w:p>
                            <w:pPr>
                              <w:keepNext/>
                              <w:jc w:val="center"/>
                              <w:outlineLvl w:val="0"/>
                              <w:rPr>
                                <w:rFonts w:eastAsia="Times New Roman"/>
                                <w:b/>
                                <w:i/>
                                <w:sz w:val="36"/>
                                <w:szCs w:val="20"/>
                                <w:lang w:eastAsia="en-GB"/>
                              </w:rPr>
                            </w:pPr>
                          </w:p>
                          <w:p>
                            <w:pPr>
                              <w:jc w:val="center"/>
                              <w:rPr>
                                <w:rFonts w:eastAsia="Times New Roman"/>
                                <w:b/>
                                <w:bCs/>
                                <w:sz w:val="12"/>
                                <w:szCs w:val="20"/>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0.35pt;margin-top:-22.9pt;width:498.55pt;height:1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" strokecolor="#002d86" strokeweight="2.25pt">
                <v:textbox>
                  <w:txbxContent>
                    <w:p>
                      <w:pPr>
                        <w:jc w:val="center"/>
                        <w:rPr>
                          <w:rFonts w:eastAsia="Times New Roman" w:cs="Arial"/>
                          <w:b/>
                          <w:lang w:val="en-AU"/>
                        </w:rPr>
                      </w:pPr>
                      <w:r>
                        <w:rPr>
                          <w:rFonts w:eastAsia="Times New Roman" w:cs="Arial"/>
                          <w:b/>
                          <w:lang w:val="en-AU"/>
                        </w:rPr>
                        <w:t>HIGHWORTH GRAMMAR SCHOOL</w:t>
                      </w:r>
                    </w:p>
                    <w:p>
                      <w:pPr>
                        <w:jc w:val="center"/>
                        <w:rPr>
                          <w:rFonts w:eastAsia="Times New Roman" w:cs="Arial"/>
                          <w:lang w:val="en-AU"/>
                        </w:rPr>
                      </w:pPr>
                      <w:r>
                        <w:rPr>
                          <w:rFonts w:eastAsia="Times New Roman" w:cs="Arial"/>
                          <w:lang w:val="en-AU"/>
                        </w:rPr>
                        <w:t>Maidstone Road, Ashford, Kent TN24 8UD</w:t>
                      </w:r>
                    </w:p>
                    <w:p>
                      <w:pPr>
                        <w:jc w:val="center"/>
                        <w:rPr>
                          <w:rFonts w:eastAsia="Times New Roman" w:cs="Arial"/>
                          <w:lang w:val="en-AU"/>
                        </w:rPr>
                      </w:pPr>
                      <w:r>
                        <w:rPr>
                          <w:rFonts w:eastAsia="Times New Roman" w:cs="Arial"/>
                          <w:lang w:val="en-AU"/>
                        </w:rPr>
                        <w:t>Telephone: 01233 624910 Fax: 01233 612028</w:t>
                      </w:r>
                    </w:p>
                    <w:p>
                      <w:pPr>
                        <w:jc w:val="center"/>
                        <w:rPr>
                          <w:rFonts w:eastAsia="Times New Roman" w:cs="Arial"/>
                          <w:lang w:val="en-AU"/>
                        </w:rPr>
                      </w:pPr>
                      <w:r>
                        <w:rPr>
                          <w:rFonts w:eastAsia="Times New Roman" w:cs="Arial"/>
                          <w:lang w:val="en-AU"/>
                        </w:rPr>
                        <w:t xml:space="preserve">E-mail: </w:t>
                      </w:r>
                      <w:hyperlink r:id="rId11" w:history="1">
                        <w:r>
                          <w:rPr>
                            <w:rStyle w:val="Hyperlink"/>
                            <w:rFonts w:eastAsia="Times New Roman" w:cs="Arial"/>
                            <w:lang w:val="en-AU"/>
                          </w:rPr>
                          <w:t>HR@highworth.kent.sch.uk</w:t>
                        </w:r>
                      </w:hyperlink>
                    </w:p>
                    <w:p>
                      <w:pPr>
                        <w:jc w:val="center"/>
                        <w:rPr>
                          <w:rFonts w:eastAsia="Times New Roman" w:cs="Arial"/>
                          <w:lang w:val="en-AU"/>
                        </w:rPr>
                      </w:pPr>
                      <w:r>
                        <w:rPr>
                          <w:rFonts w:eastAsia="Times New Roman" w:cs="Arial"/>
                          <w:lang w:val="en-AU"/>
                        </w:rPr>
                        <w:t xml:space="preserve">Website: </w:t>
                      </w:r>
                      <w:hyperlink r:id="rId12" w:history="1">
                        <w:r>
                          <w:rPr>
                            <w:rFonts w:eastAsia="Times New Roman" w:cs="Arial"/>
                            <w:color w:val="0000FF"/>
                            <w:u w:val="single"/>
                            <w:lang w:val="en-AU"/>
                          </w:rPr>
                          <w:t>www.highworth.kent.sch.uk</w:t>
                        </w:r>
                      </w:hyperlink>
                    </w:p>
                    <w:p>
                      <w:pPr>
                        <w:jc w:val="center"/>
                        <w:rPr>
                          <w:rFonts w:eastAsia="Times New Roman" w:cs="Arial"/>
                          <w:lang w:val="en-AU"/>
                        </w:rPr>
                      </w:pPr>
                    </w:p>
                    <w:p>
                      <w:pPr>
                        <w:keepNext/>
                        <w:jc w:val="center"/>
                        <w:outlineLvl w:val="0"/>
                        <w:rPr>
                          <w:rFonts w:eastAsia="Times New Roman"/>
                          <w:b/>
                          <w:i/>
                          <w:sz w:val="36"/>
                          <w:szCs w:val="20"/>
                          <w:lang w:eastAsia="en-GB"/>
                        </w:rPr>
                      </w:pPr>
                      <w:r>
                        <w:rPr>
                          <w:rFonts w:eastAsia="Times New Roman"/>
                          <w:b/>
                          <w:i/>
                          <w:sz w:val="36"/>
                          <w:szCs w:val="20"/>
                          <w:lang w:eastAsia="en-GB"/>
                        </w:rPr>
                        <w:t>Head of Dance (Maternity Cover)</w:t>
                      </w:r>
                    </w:p>
                    <w:p>
                      <w:pPr>
                        <w:keepNext/>
                        <w:jc w:val="center"/>
                        <w:outlineLvl w:val="0"/>
                        <w:rPr>
                          <w:rFonts w:eastAsia="Times New Roman"/>
                          <w:b/>
                          <w:sz w:val="32"/>
                          <w:szCs w:val="32"/>
                          <w:lang w:eastAsia="en-GB"/>
                        </w:rPr>
                      </w:pPr>
                      <w:r>
                        <w:rPr>
                          <w:rFonts w:eastAsia="Times New Roman"/>
                          <w:b/>
                          <w:sz w:val="32"/>
                          <w:szCs w:val="32"/>
                          <w:lang w:eastAsia="en-GB"/>
                        </w:rPr>
                        <w:t>FURTHER INFORMATION</w:t>
                      </w:r>
                    </w:p>
                    <w:p>
                      <w:pPr>
                        <w:keepNext/>
                        <w:jc w:val="center"/>
                        <w:outlineLvl w:val="0"/>
                        <w:rPr>
                          <w:rFonts w:eastAsia="Times New Roman"/>
                          <w:b/>
                          <w:i/>
                          <w:sz w:val="36"/>
                          <w:szCs w:val="20"/>
                          <w:lang w:eastAsia="en-GB"/>
                        </w:rPr>
                      </w:pPr>
                    </w:p>
                    <w:p>
                      <w:pPr>
                        <w:jc w:val="center"/>
                        <w:rPr>
                          <w:rFonts w:eastAsia="Times New Roman"/>
                          <w:b/>
                          <w:bCs/>
                          <w:sz w:val="12"/>
                          <w:szCs w:val="20"/>
                          <w:lang w:val="en-AU"/>
                        </w:rPr>
                      </w:pPr>
                    </w:p>
                  </w:txbxContent>
                </v:textbox>
              </v:roundrect>
            </w:pict>
          </mc:Fallback>
        </mc:AlternateContent>
      </w:r>
      <w:r>
        <w:rPr>
          <w:noProof/>
          <w:lang w:eastAsia="en-GB"/>
        </w:rPr>
        <w:drawing>
          <wp:anchor distT="0" distB="0" distL="114300" distR="114300" simplePos="0" relativeHeight="251658240" behindDoc="0" locked="0" layoutInCell="1" allowOverlap="1">
            <wp:simplePos x="0" y="0"/>
            <wp:positionH relativeFrom="column">
              <wp:posOffset>4889500</wp:posOffset>
            </wp:positionH>
            <wp:positionV relativeFrom="paragraph">
              <wp:posOffset>36195</wp:posOffset>
            </wp:positionV>
            <wp:extent cx="721360" cy="887730"/>
            <wp:effectExtent l="0" t="0" r="0" b="0"/>
            <wp:wrapSquare wrapText="bothSides"/>
            <wp:docPr id="3" name="Picture 3" descr="Highwor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worth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1360" cy="88773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Pr>
        <w:keepNext/>
        <w:jc w:val="both"/>
        <w:outlineLvl w:val="2"/>
        <w:rPr>
          <w:rFonts w:eastAsia="Times New Roman"/>
          <w:sz w:val="8"/>
          <w:lang w:val="en-AU"/>
        </w:rPr>
      </w:pPr>
    </w:p>
    <w:p>
      <w:pPr>
        <w:keepNext/>
        <w:jc w:val="both"/>
        <w:outlineLvl w:val="2"/>
        <w:rPr>
          <w:rFonts w:eastAsia="Times New Roman"/>
          <w:sz w:val="22"/>
          <w:lang w:val="en-AU"/>
        </w:rPr>
      </w:pPr>
    </w:p>
    <w:p>
      <w:pPr>
        <w:keepNext/>
        <w:jc w:val="both"/>
        <w:outlineLvl w:val="2"/>
        <w:rPr>
          <w:rFonts w:eastAsia="Times New Roman"/>
          <w:sz w:val="22"/>
          <w:lang w:val="en-AU"/>
        </w:rPr>
      </w:pPr>
    </w:p>
    <w:p>
      <w:pPr>
        <w:keepNext/>
        <w:jc w:val="both"/>
        <w:outlineLvl w:val="2"/>
        <w:rPr>
          <w:rFonts w:eastAsia="Times New Roman"/>
          <w:szCs w:val="24"/>
          <w:lang w:val="en-AU"/>
        </w:rPr>
      </w:pPr>
    </w:p>
    <w:p>
      <w:pPr>
        <w:keepNext/>
        <w:jc w:val="both"/>
        <w:outlineLvl w:val="2"/>
        <w:rPr>
          <w:rFonts w:eastAsia="Times New Roman"/>
          <w:szCs w:val="24"/>
          <w:lang w:val="en-AU"/>
        </w:rPr>
      </w:pPr>
      <w:r>
        <w:rPr>
          <w:rFonts w:eastAsia="Times New Roman"/>
          <w:szCs w:val="24"/>
          <w:lang w:val="en-AU"/>
        </w:rPr>
        <w:t>Highworth Grammar School is a successful 11-18 selective girls’ school with approximately 71 boys in the Sixth Form.  There are 1534 students on roll – 1077 in Years 7-11 and 459 in Years 12 and 13. Our school is widely recognised as being innovative and highly successful.  Highworth has a strong academic reputation and our students are recognised as mature and reliable young people.  We aim to deliver the best possible education to all of our students in a safe and secure environment</w:t>
      </w:r>
    </w:p>
    <w:p>
      <w:pPr>
        <w:jc w:val="both"/>
        <w:rPr>
          <w:rFonts w:eastAsia="Times New Roman"/>
          <w:lang w:val="en" w:eastAsia="en-GB"/>
        </w:rPr>
      </w:pPr>
    </w:p>
    <w:p>
      <w:pPr>
        <w:jc w:val="both"/>
        <w:rPr>
          <w:rFonts w:eastAsia="Times New Roman"/>
          <w:lang w:val="en" w:eastAsia="en-GB"/>
        </w:rPr>
      </w:pPr>
      <w:r>
        <w:rPr>
          <w:rFonts w:eastAsia="Times New Roman"/>
          <w:lang w:val="en" w:eastAsia="en-GB"/>
        </w:rPr>
        <w:t>Our motto of ‘Reach for the Stars’ embodies the daily working life of the whole school community; students are encouraged to see learning as a lifelong activity.  A key feature of our motto is happiness which is achieved through excellent student behaviour in lessons; clear policies and guidance; strong leadership; and enthusiastic community spirit.  It is important that both staff and students feel confident, happy and valued.</w:t>
      </w:r>
    </w:p>
    <w:p>
      <w:pPr>
        <w:jc w:val="both"/>
        <w:rPr>
          <w:rFonts w:eastAsia="Times New Roman"/>
          <w:lang w:val="en" w:eastAsia="en-GB"/>
        </w:rPr>
      </w:pPr>
    </w:p>
    <w:p>
      <w:pPr>
        <w:jc w:val="both"/>
        <w:rPr>
          <w:rFonts w:eastAsia="Times New Roman"/>
          <w:lang w:val="en" w:eastAsia="en-GB"/>
        </w:rPr>
      </w:pPr>
      <w:r>
        <w:rPr>
          <w:rFonts w:eastAsia="Times New Roman"/>
          <w:lang w:val="en" w:eastAsia="en-GB"/>
        </w:rPr>
        <w:t>Students at Highworth are given rewards for creativity, problem solving, achievement resilience and team work.  We value the development of a full range of skills to offer students the best preparation for future challenges.  Working here allows staff to share this balanced approach to education; embrace new ideas; and sustain a sense of enjoyment in their own learning.</w:t>
      </w:r>
    </w:p>
    <w:p>
      <w:pPr>
        <w:keepNext/>
        <w:jc w:val="both"/>
        <w:outlineLvl w:val="2"/>
        <w:rPr>
          <w:rFonts w:eastAsia="Times New Roman"/>
          <w:lang w:val="en-AU"/>
        </w:rPr>
      </w:pPr>
    </w:p>
    <w:p>
      <w:pPr>
        <w:keepNext/>
        <w:jc w:val="both"/>
        <w:outlineLvl w:val="2"/>
        <w:rPr>
          <w:rFonts w:eastAsia="Times New Roman"/>
          <w:lang w:val="en-AU"/>
        </w:rPr>
      </w:pPr>
      <w:r>
        <w:rPr>
          <w:rFonts w:eastAsia="Times New Roman"/>
          <w:lang w:val="en-AU"/>
        </w:rPr>
        <w:t>We are a Music Specialist Status school and we are proud of the many opportunities provided for achievement in music and the arts. We believe this is crucial in our ethos in encouraging our students to be independent, creative and highly motivated lifelong learners.</w:t>
      </w:r>
    </w:p>
    <w:p>
      <w:pPr>
        <w:rPr>
          <w:rFonts w:eastAsia="Times New Roman"/>
          <w:sz w:val="14"/>
          <w:lang w:val="en-AU"/>
        </w:rPr>
      </w:pPr>
    </w:p>
    <w:p>
      <w:pPr>
        <w:jc w:val="both"/>
        <w:rPr>
          <w:rFonts w:eastAsia="Times New Roman"/>
          <w:lang w:val="en" w:eastAsia="en-GB"/>
        </w:rPr>
      </w:pPr>
      <w:r>
        <w:rPr>
          <w:rFonts w:eastAsia="Times New Roman"/>
          <w:lang w:val="en-AU"/>
        </w:rPr>
        <w:t>During the June 2013 Ofsted Inspection the school was judged as an Outstanding School.</w:t>
      </w:r>
      <w:r>
        <w:rPr>
          <w:rFonts w:eastAsia="Times New Roman"/>
          <w:lang w:val="en" w:eastAsia="en-GB"/>
        </w:rPr>
        <w:t xml:space="preserve">  In 2019 our A Level results placed us in the top 25% of schools nationally.</w:t>
      </w:r>
    </w:p>
    <w:p>
      <w:pPr>
        <w:jc w:val="both"/>
        <w:rPr>
          <w:rFonts w:eastAsia="Times New Roman"/>
          <w:sz w:val="22"/>
          <w:lang w:val="en" w:eastAsia="en-GB"/>
        </w:rPr>
      </w:pPr>
    </w:p>
    <w:p>
      <w:pPr>
        <w:jc w:val="both"/>
        <w:rPr>
          <w:rFonts w:eastAsia="Times New Roman"/>
          <w:b/>
          <w:lang w:val="en-AU"/>
        </w:rPr>
      </w:pPr>
      <w:r>
        <w:rPr>
          <w:rFonts w:eastAsia="Times New Roman"/>
          <w:b/>
          <w:lang w:val="en-AU"/>
        </w:rPr>
        <w:t>FEATURES OF THE SCHOOL</w:t>
      </w:r>
    </w:p>
    <w:p>
      <w:pPr>
        <w:jc w:val="both"/>
        <w:rPr>
          <w:rFonts w:eastAsia="Times New Roman"/>
          <w:lang w:val="en-AU"/>
        </w:rPr>
      </w:pPr>
      <w:r>
        <w:rPr>
          <w:rFonts w:eastAsia="Times New Roman"/>
          <w:lang w:val="en-AU"/>
        </w:rPr>
        <w:t>These include:</w:t>
      </w:r>
    </w:p>
    <w:p>
      <w:pPr>
        <w:numPr>
          <w:ilvl w:val="0"/>
          <w:numId w:val="3"/>
        </w:numPr>
        <w:tabs>
          <w:tab w:val="num" w:pos="426"/>
        </w:tabs>
        <w:ind w:hanging="578"/>
        <w:jc w:val="both"/>
        <w:rPr>
          <w:rFonts w:eastAsia="Times New Roman"/>
          <w:szCs w:val="24"/>
          <w:lang w:val="en-AU"/>
        </w:rPr>
      </w:pPr>
      <w:r>
        <w:rPr>
          <w:rFonts w:eastAsia="Times New Roman"/>
          <w:szCs w:val="24"/>
          <w:lang w:val="en-AU"/>
        </w:rPr>
        <w:t>Caring, supportive and committed staff</w:t>
      </w:r>
    </w:p>
    <w:p>
      <w:pPr>
        <w:numPr>
          <w:ilvl w:val="0"/>
          <w:numId w:val="3"/>
        </w:numPr>
        <w:tabs>
          <w:tab w:val="num" w:pos="426"/>
        </w:tabs>
        <w:ind w:hanging="578"/>
        <w:jc w:val="both"/>
        <w:rPr>
          <w:rFonts w:eastAsia="Times New Roman"/>
          <w:szCs w:val="24"/>
          <w:lang w:val="en-AU"/>
        </w:rPr>
      </w:pPr>
      <w:r>
        <w:rPr>
          <w:rFonts w:eastAsia="Times New Roman"/>
          <w:szCs w:val="24"/>
          <w:lang w:val="en-AU"/>
        </w:rPr>
        <w:t>Commitment to professional development</w:t>
      </w:r>
    </w:p>
    <w:p>
      <w:pPr>
        <w:numPr>
          <w:ilvl w:val="0"/>
          <w:numId w:val="3"/>
        </w:numPr>
        <w:tabs>
          <w:tab w:val="num" w:pos="426"/>
        </w:tabs>
        <w:ind w:left="426" w:hanging="284"/>
        <w:jc w:val="both"/>
        <w:rPr>
          <w:rFonts w:eastAsia="Times New Roman"/>
          <w:szCs w:val="24"/>
          <w:lang w:val="en-AU"/>
        </w:rPr>
      </w:pPr>
      <w:r>
        <w:rPr>
          <w:rFonts w:eastAsia="Times New Roman"/>
          <w:szCs w:val="24"/>
          <w:lang w:val="en-AU"/>
        </w:rPr>
        <w:t>High academic standards with a large proportion of outstanding lessons</w:t>
      </w:r>
    </w:p>
    <w:p>
      <w:pPr>
        <w:numPr>
          <w:ilvl w:val="0"/>
          <w:numId w:val="3"/>
        </w:numPr>
        <w:tabs>
          <w:tab w:val="num" w:pos="426"/>
        </w:tabs>
        <w:ind w:hanging="578"/>
        <w:jc w:val="both"/>
        <w:rPr>
          <w:rFonts w:eastAsia="Times New Roman"/>
          <w:szCs w:val="24"/>
          <w:lang w:val="en-AU"/>
        </w:rPr>
      </w:pPr>
      <w:r>
        <w:rPr>
          <w:rFonts w:eastAsia="Times New Roman"/>
          <w:szCs w:val="24"/>
          <w:lang w:val="en-AU"/>
        </w:rPr>
        <w:t>Vertical Tutoring</w:t>
      </w:r>
    </w:p>
    <w:p>
      <w:pPr>
        <w:numPr>
          <w:ilvl w:val="0"/>
          <w:numId w:val="3"/>
        </w:numPr>
        <w:tabs>
          <w:tab w:val="num" w:pos="426"/>
        </w:tabs>
        <w:ind w:left="426" w:hanging="284"/>
        <w:jc w:val="both"/>
        <w:rPr>
          <w:rFonts w:eastAsia="Times New Roman"/>
          <w:szCs w:val="24"/>
          <w:lang w:val="en-AU"/>
        </w:rPr>
      </w:pPr>
      <w:r>
        <w:rPr>
          <w:rFonts w:eastAsia="Times New Roman"/>
          <w:szCs w:val="24"/>
          <w:lang w:val="en-AU"/>
        </w:rPr>
        <w:t>Wireless environment, full internet access, 100mb link</w:t>
      </w:r>
    </w:p>
    <w:p>
      <w:pPr>
        <w:pStyle w:val="ListParagraph"/>
        <w:numPr>
          <w:ilvl w:val="0"/>
          <w:numId w:val="3"/>
        </w:numPr>
        <w:tabs>
          <w:tab w:val="left" w:pos="426"/>
        </w:tabs>
        <w:ind w:hanging="578"/>
        <w:rPr>
          <w:sz w:val="24"/>
          <w:szCs w:val="24"/>
          <w:lang w:val="en-US"/>
        </w:rPr>
      </w:pPr>
      <w:r>
        <w:rPr>
          <w:sz w:val="24"/>
          <w:szCs w:val="24"/>
          <w:lang w:val="en-US"/>
        </w:rPr>
        <w:t>Cloud storage and software provided by Google.</w:t>
      </w:r>
    </w:p>
    <w:p>
      <w:pPr>
        <w:pStyle w:val="ListParagraph"/>
        <w:numPr>
          <w:ilvl w:val="0"/>
          <w:numId w:val="3"/>
        </w:numPr>
        <w:tabs>
          <w:tab w:val="left" w:pos="426"/>
        </w:tabs>
        <w:ind w:hanging="578"/>
        <w:rPr>
          <w:sz w:val="24"/>
          <w:szCs w:val="24"/>
          <w:lang w:val="en-US"/>
        </w:rPr>
      </w:pPr>
      <w:r>
        <w:rPr>
          <w:sz w:val="24"/>
          <w:szCs w:val="24"/>
          <w:lang w:val="en-US"/>
        </w:rPr>
        <w:t>Site wide video streaming provided from YouTube education</w:t>
      </w:r>
    </w:p>
    <w:p>
      <w:pPr>
        <w:numPr>
          <w:ilvl w:val="0"/>
          <w:numId w:val="3"/>
        </w:numPr>
        <w:tabs>
          <w:tab w:val="num" w:pos="426"/>
        </w:tabs>
        <w:ind w:hanging="578"/>
        <w:jc w:val="both"/>
        <w:rPr>
          <w:rFonts w:eastAsia="Times New Roman"/>
          <w:szCs w:val="24"/>
          <w:lang w:val="en-AU"/>
        </w:rPr>
      </w:pPr>
      <w:r>
        <w:rPr>
          <w:rFonts w:eastAsia="Times New Roman"/>
          <w:szCs w:val="24"/>
          <w:lang w:val="en-AU"/>
        </w:rPr>
        <w:t>Laptop for every teacher</w:t>
      </w:r>
    </w:p>
    <w:p>
      <w:pPr>
        <w:numPr>
          <w:ilvl w:val="0"/>
          <w:numId w:val="3"/>
        </w:numPr>
        <w:tabs>
          <w:tab w:val="num" w:pos="426"/>
        </w:tabs>
        <w:ind w:left="426" w:hanging="284"/>
        <w:jc w:val="both"/>
        <w:rPr>
          <w:rFonts w:eastAsia="Times New Roman"/>
          <w:szCs w:val="24"/>
          <w:lang w:val="en-AU"/>
        </w:rPr>
      </w:pPr>
      <w:r>
        <w:rPr>
          <w:rFonts w:eastAsia="Times New Roman"/>
          <w:szCs w:val="24"/>
          <w:lang w:val="en-AU"/>
        </w:rPr>
        <w:t>Wireless multimedia projector for every classroom</w:t>
      </w:r>
    </w:p>
    <w:p>
      <w:pPr>
        <w:numPr>
          <w:ilvl w:val="0"/>
          <w:numId w:val="3"/>
        </w:numPr>
        <w:tabs>
          <w:tab w:val="num" w:pos="426"/>
        </w:tabs>
        <w:ind w:hanging="578"/>
        <w:jc w:val="both"/>
        <w:rPr>
          <w:rFonts w:eastAsia="Times New Roman"/>
          <w:szCs w:val="24"/>
          <w:lang w:val="en-AU"/>
        </w:rPr>
      </w:pPr>
      <w:r>
        <w:rPr>
          <w:rFonts w:eastAsia="Times New Roman"/>
          <w:szCs w:val="24"/>
          <w:lang w:val="en-AU"/>
        </w:rPr>
        <w:t xml:space="preserve">2 dedicated ICT suites (air conditioned) </w:t>
      </w:r>
    </w:p>
    <w:p>
      <w:pPr>
        <w:numPr>
          <w:ilvl w:val="0"/>
          <w:numId w:val="3"/>
        </w:numPr>
        <w:tabs>
          <w:tab w:val="num" w:pos="426"/>
        </w:tabs>
        <w:ind w:hanging="578"/>
        <w:jc w:val="both"/>
        <w:rPr>
          <w:rFonts w:eastAsia="Times New Roman"/>
          <w:szCs w:val="24"/>
          <w:lang w:val="en-AU"/>
        </w:rPr>
      </w:pPr>
      <w:r>
        <w:rPr>
          <w:rFonts w:eastAsia="Times New Roman"/>
          <w:szCs w:val="24"/>
          <w:lang w:val="en-AU"/>
        </w:rPr>
        <w:t>28</w:t>
      </w:r>
      <w:bookmarkStart w:id="0" w:name="_GoBack"/>
      <w:bookmarkEnd w:id="0"/>
      <w:r>
        <w:rPr>
          <w:rFonts w:eastAsia="Times New Roman"/>
          <w:szCs w:val="24"/>
          <w:lang w:val="en-AU"/>
        </w:rPr>
        <w:t xml:space="preserve"> mobile laptop trolleys</w:t>
      </w:r>
    </w:p>
    <w:p>
      <w:pPr>
        <w:numPr>
          <w:ilvl w:val="0"/>
          <w:numId w:val="3"/>
        </w:numPr>
        <w:tabs>
          <w:tab w:val="num" w:pos="426"/>
        </w:tabs>
        <w:ind w:hanging="578"/>
        <w:jc w:val="both"/>
        <w:rPr>
          <w:rFonts w:eastAsia="Times New Roman"/>
          <w:szCs w:val="24"/>
          <w:lang w:val="en-AU"/>
        </w:rPr>
      </w:pPr>
      <w:r>
        <w:rPr>
          <w:rFonts w:eastAsia="Times New Roman"/>
          <w:szCs w:val="24"/>
          <w:lang w:val="en-AU"/>
        </w:rPr>
        <w:t>New sports hall</w:t>
      </w:r>
    </w:p>
    <w:p>
      <w:pPr>
        <w:numPr>
          <w:ilvl w:val="0"/>
          <w:numId w:val="3"/>
        </w:numPr>
        <w:tabs>
          <w:tab w:val="num" w:pos="426"/>
        </w:tabs>
        <w:ind w:hanging="578"/>
        <w:jc w:val="both"/>
        <w:rPr>
          <w:rFonts w:eastAsia="Times New Roman"/>
          <w:szCs w:val="24"/>
          <w:lang w:val="en-AU"/>
        </w:rPr>
      </w:pPr>
      <w:r>
        <w:rPr>
          <w:rFonts w:eastAsia="Times New Roman"/>
          <w:szCs w:val="24"/>
          <w:lang w:val="en-AU"/>
        </w:rPr>
        <w:t>10 dedicated Science labs</w:t>
      </w:r>
    </w:p>
    <w:p>
      <w:pPr>
        <w:numPr>
          <w:ilvl w:val="0"/>
          <w:numId w:val="3"/>
        </w:numPr>
        <w:tabs>
          <w:tab w:val="num" w:pos="426"/>
        </w:tabs>
        <w:ind w:hanging="578"/>
        <w:jc w:val="both"/>
        <w:rPr>
          <w:rFonts w:eastAsia="Times New Roman"/>
          <w:szCs w:val="24"/>
          <w:lang w:val="en-AU"/>
        </w:rPr>
      </w:pPr>
      <w:r>
        <w:rPr>
          <w:rFonts w:eastAsia="Times New Roman"/>
          <w:szCs w:val="24"/>
          <w:lang w:val="en-AU"/>
        </w:rPr>
        <w:lastRenderedPageBreak/>
        <w:t>3 Performing Arts studios</w:t>
      </w:r>
    </w:p>
    <w:p>
      <w:pPr>
        <w:numPr>
          <w:ilvl w:val="0"/>
          <w:numId w:val="3"/>
        </w:numPr>
        <w:tabs>
          <w:tab w:val="num" w:pos="426"/>
        </w:tabs>
        <w:ind w:left="426" w:hanging="284"/>
        <w:jc w:val="both"/>
        <w:rPr>
          <w:rFonts w:eastAsia="Times New Roman"/>
          <w:szCs w:val="24"/>
          <w:lang w:val="en-AU"/>
        </w:rPr>
      </w:pPr>
      <w:r>
        <w:rPr>
          <w:rFonts w:eastAsia="Times New Roman"/>
          <w:szCs w:val="24"/>
          <w:lang w:val="en-AU"/>
        </w:rPr>
        <w:t>Music Technology suite and recording studio</w:t>
      </w:r>
    </w:p>
    <w:p>
      <w:pPr>
        <w:numPr>
          <w:ilvl w:val="0"/>
          <w:numId w:val="3"/>
        </w:numPr>
        <w:tabs>
          <w:tab w:val="num" w:pos="426"/>
        </w:tabs>
        <w:ind w:hanging="578"/>
        <w:jc w:val="both"/>
        <w:rPr>
          <w:rFonts w:eastAsia="Times New Roman"/>
          <w:szCs w:val="24"/>
          <w:lang w:val="en-AU"/>
        </w:rPr>
      </w:pPr>
      <w:r>
        <w:rPr>
          <w:rFonts w:eastAsia="Times New Roman"/>
          <w:szCs w:val="24"/>
          <w:lang w:val="en-AU"/>
        </w:rPr>
        <w:t>DT suite with latest technology</w:t>
      </w:r>
    </w:p>
    <w:p>
      <w:pPr>
        <w:numPr>
          <w:ilvl w:val="0"/>
          <w:numId w:val="3"/>
        </w:numPr>
        <w:tabs>
          <w:tab w:val="clear" w:pos="720"/>
          <w:tab w:val="num" w:pos="426"/>
        </w:tabs>
        <w:ind w:hanging="578"/>
        <w:jc w:val="both"/>
        <w:rPr>
          <w:rFonts w:eastAsia="Times New Roman"/>
          <w:szCs w:val="24"/>
          <w:lang w:val="en-AU"/>
        </w:rPr>
      </w:pPr>
      <w:r>
        <w:rPr>
          <w:rFonts w:eastAsia="Times New Roman"/>
          <w:szCs w:val="24"/>
          <w:lang w:val="en-AU"/>
        </w:rPr>
        <w:t>Research into use of new technologies/pedagogy</w:t>
      </w:r>
    </w:p>
    <w:p>
      <w:pPr>
        <w:numPr>
          <w:ilvl w:val="0"/>
          <w:numId w:val="3"/>
        </w:numPr>
        <w:tabs>
          <w:tab w:val="num" w:pos="426"/>
        </w:tabs>
        <w:ind w:hanging="578"/>
        <w:jc w:val="both"/>
        <w:rPr>
          <w:rFonts w:eastAsia="Times New Roman"/>
          <w:szCs w:val="24"/>
          <w:lang w:val="en-AU"/>
        </w:rPr>
      </w:pPr>
      <w:r>
        <w:rPr>
          <w:rFonts w:eastAsia="Times New Roman"/>
          <w:szCs w:val="24"/>
          <w:lang w:val="en-AU"/>
        </w:rPr>
        <w:t>Department areas suited</w:t>
      </w:r>
    </w:p>
    <w:p>
      <w:pPr>
        <w:numPr>
          <w:ilvl w:val="0"/>
          <w:numId w:val="3"/>
        </w:numPr>
        <w:tabs>
          <w:tab w:val="num" w:pos="426"/>
        </w:tabs>
        <w:ind w:hanging="578"/>
        <w:jc w:val="both"/>
        <w:rPr>
          <w:rFonts w:eastAsia="Times New Roman"/>
          <w:szCs w:val="24"/>
          <w:lang w:val="en-AU"/>
        </w:rPr>
      </w:pPr>
      <w:r>
        <w:rPr>
          <w:rFonts w:eastAsia="Times New Roman"/>
          <w:szCs w:val="24"/>
          <w:lang w:val="en-AU"/>
        </w:rPr>
        <w:t>Cover supervisors to minimise staff cover</w:t>
      </w:r>
    </w:p>
    <w:p>
      <w:pPr>
        <w:numPr>
          <w:ilvl w:val="0"/>
          <w:numId w:val="3"/>
        </w:numPr>
        <w:tabs>
          <w:tab w:val="num" w:pos="426"/>
        </w:tabs>
        <w:ind w:left="426" w:hanging="284"/>
        <w:jc w:val="both"/>
        <w:rPr>
          <w:rFonts w:eastAsia="Times New Roman"/>
          <w:szCs w:val="24"/>
          <w:lang w:val="en-AU"/>
        </w:rPr>
      </w:pPr>
      <w:r>
        <w:rPr>
          <w:rFonts w:eastAsia="Times New Roman"/>
          <w:szCs w:val="24"/>
          <w:lang w:val="en-AU"/>
        </w:rPr>
        <w:t>10 day timetable with five one hour lessons per day. Current maximum teaching time for full time teachers is 45 out of 50 teaching periods</w:t>
      </w:r>
    </w:p>
    <w:p>
      <w:pPr>
        <w:keepNext/>
        <w:outlineLvl w:val="3"/>
        <w:rPr>
          <w:rFonts w:eastAsia="Times New Roman" w:cs="Arial"/>
          <w:b/>
          <w:bCs/>
          <w:i/>
          <w:sz w:val="28"/>
          <w:lang w:val="en-AU"/>
        </w:rPr>
      </w:pPr>
    </w:p>
    <w:p>
      <w:pPr>
        <w:keepNext/>
        <w:outlineLvl w:val="3"/>
        <w:rPr>
          <w:rFonts w:eastAsia="Times New Roman" w:cs="Arial"/>
          <w:b/>
          <w:bCs/>
          <w:i/>
          <w:sz w:val="28"/>
          <w:lang w:val="en-AU"/>
        </w:rPr>
      </w:pPr>
      <w:r>
        <w:rPr>
          <w:rFonts w:eastAsia="Times New Roman" w:cs="Arial"/>
          <w:b/>
          <w:bCs/>
          <w:i/>
          <w:sz w:val="28"/>
          <w:lang w:val="en-AU"/>
        </w:rPr>
        <w:t>Students</w:t>
      </w:r>
    </w:p>
    <w:p>
      <w:pPr>
        <w:jc w:val="both"/>
        <w:rPr>
          <w:rFonts w:eastAsia="Times New Roman"/>
          <w:lang w:val="en-AU"/>
        </w:rPr>
      </w:pPr>
      <w:r>
        <w:rPr>
          <w:rFonts w:eastAsia="Times New Roman"/>
          <w:lang w:val="en-AU"/>
        </w:rPr>
        <w:t xml:space="preserve">The school has a wide catchment area, taking students from over 40 primary schools, many of which are situated in small villages within the Kent countryside.  Entry at age 11 is by the Kent Education Committee Selection Procedure, which aims to identify the top 25% of the ability range.  Some students transfer to our school at 16+ from other schools. </w:t>
      </w:r>
    </w:p>
    <w:p>
      <w:pPr>
        <w:jc w:val="both"/>
        <w:rPr>
          <w:rFonts w:eastAsia="Times New Roman" w:cs="Arial"/>
          <w:b/>
          <w:bCs/>
          <w:i/>
          <w:lang w:val="en-AU"/>
        </w:rPr>
      </w:pPr>
    </w:p>
    <w:p>
      <w:pPr>
        <w:jc w:val="both"/>
        <w:rPr>
          <w:rFonts w:eastAsia="Times New Roman" w:cs="Arial"/>
          <w:b/>
          <w:bCs/>
          <w:i/>
          <w:sz w:val="28"/>
          <w:lang w:val="en-AU"/>
        </w:rPr>
      </w:pPr>
      <w:r>
        <w:rPr>
          <w:rFonts w:eastAsia="Times New Roman" w:cs="Arial"/>
          <w:b/>
          <w:bCs/>
          <w:i/>
          <w:sz w:val="28"/>
          <w:lang w:val="en-AU"/>
        </w:rPr>
        <w:t>Staff</w:t>
      </w:r>
    </w:p>
    <w:p>
      <w:pPr>
        <w:jc w:val="both"/>
        <w:rPr>
          <w:rFonts w:eastAsia="Times New Roman"/>
          <w:szCs w:val="24"/>
          <w:lang w:val="en-AU"/>
        </w:rPr>
      </w:pPr>
      <w:r>
        <w:rPr>
          <w:rFonts w:eastAsia="Times New Roman"/>
          <w:szCs w:val="24"/>
          <w:lang w:val="en-AU"/>
        </w:rPr>
        <w:t xml:space="preserve">We are fully committed to the professional development of all our staff.  All new teachers and NQTs follow a well informed and structured induction programme.  All staff are encouraged to pursue personal goals and the school fully embraces interest in pastoral and pedagogical innovation.  Every member of staff takes part in the annual performance development scheme which also embodies our motto of Reach for the stars.  </w:t>
      </w:r>
    </w:p>
    <w:p>
      <w:pPr>
        <w:pStyle w:val="Heading2"/>
        <w:tabs>
          <w:tab w:val="left" w:pos="1275"/>
        </w:tabs>
        <w:spacing w:before="0" w:after="0"/>
        <w:rPr>
          <w:rFonts w:ascii="Calibri" w:hAnsi="Calibri"/>
          <w:iCs w:val="0"/>
          <w:sz w:val="24"/>
          <w:szCs w:val="22"/>
        </w:rPr>
      </w:pPr>
      <w:r>
        <w:rPr>
          <w:rFonts w:ascii="Calibri" w:hAnsi="Calibri"/>
          <w:iCs w:val="0"/>
          <w:sz w:val="24"/>
          <w:szCs w:val="24"/>
        </w:rPr>
        <w:tab/>
      </w:r>
    </w:p>
    <w:p>
      <w:pPr>
        <w:pStyle w:val="Heading2"/>
        <w:spacing w:before="0" w:after="0"/>
        <w:rPr>
          <w:rFonts w:ascii="Calibri" w:hAnsi="Calibri"/>
          <w:iCs w:val="0"/>
          <w:szCs w:val="22"/>
        </w:rPr>
      </w:pPr>
      <w:r>
        <w:rPr>
          <w:rFonts w:ascii="Calibri" w:hAnsi="Calibri"/>
          <w:iCs w:val="0"/>
          <w:szCs w:val="22"/>
        </w:rPr>
        <w:t>Curriculum</w:t>
      </w:r>
    </w:p>
    <w:p>
      <w:pPr>
        <w:pStyle w:val="BodyText"/>
        <w:rPr>
          <w:rFonts w:ascii="Calibri" w:hAnsi="Calibri" w:cs="Tahoma"/>
          <w:color w:val="000000"/>
          <w:spacing w:val="-2"/>
          <w:szCs w:val="22"/>
        </w:rPr>
      </w:pPr>
      <w:r>
        <w:rPr>
          <w:rFonts w:ascii="Calibri" w:hAnsi="Calibri" w:cs="Tahoma"/>
          <w:color w:val="000000"/>
          <w:spacing w:val="-2"/>
          <w:szCs w:val="22"/>
        </w:rPr>
        <w:t xml:space="preserve">Our curriculum at Key Stage 3 includes all the National Curriculum subjects </w:t>
      </w:r>
      <w:r>
        <w:rPr>
          <w:rFonts w:ascii="Calibri" w:hAnsi="Calibri" w:cs="Tahoma"/>
          <w:spacing w:val="-2"/>
          <w:szCs w:val="22"/>
        </w:rPr>
        <w:t>(Art &amp; Design, English with Drama, Geography, History, Mathematics, Modern Languages - French, German and Spanish, Music, Physical Education, Dance, Religious Education, Design Technology, Computing and Science).</w:t>
      </w:r>
      <w:r>
        <w:rPr>
          <w:rFonts w:ascii="Calibri" w:hAnsi="Calibri" w:cs="Tahoma"/>
          <w:color w:val="000000"/>
          <w:spacing w:val="-2"/>
          <w:szCs w:val="22"/>
        </w:rPr>
        <w:t xml:space="preserve"> </w:t>
      </w:r>
    </w:p>
    <w:p>
      <w:pPr>
        <w:pStyle w:val="BodyText"/>
        <w:rPr>
          <w:rFonts w:ascii="Tahoma" w:hAnsi="Tahoma" w:cs="Tahoma"/>
          <w:color w:val="000000"/>
          <w:szCs w:val="22"/>
        </w:rPr>
      </w:pPr>
      <w:r>
        <w:rPr>
          <w:rFonts w:ascii="Calibri" w:hAnsi="Calibri" w:cs="Tahoma"/>
          <w:color w:val="000000"/>
          <w:spacing w:val="-2"/>
          <w:szCs w:val="22"/>
        </w:rPr>
        <w:t>  </w:t>
      </w:r>
    </w:p>
    <w:p>
      <w:pPr>
        <w:pStyle w:val="BodyText"/>
        <w:rPr>
          <w:rFonts w:ascii="Tahoma" w:hAnsi="Tahoma" w:cs="Tahoma"/>
          <w:color w:val="000000"/>
          <w:szCs w:val="22"/>
        </w:rPr>
      </w:pPr>
      <w:r>
        <w:rPr>
          <w:rFonts w:ascii="Calibri" w:hAnsi="Calibri" w:cs="Tahoma"/>
          <w:color w:val="000000"/>
          <w:spacing w:val="-2"/>
          <w:szCs w:val="22"/>
        </w:rPr>
        <w:t>We offer all Key Stage 3 subjects through to A Level together with Business Studies, Dance, Economics, Film Studies, Further Mathematics, Government &amp; Politics, Media, Photography, Psychology, Sociology and Theatre Studies. </w:t>
      </w:r>
    </w:p>
    <w:p>
      <w:pPr>
        <w:jc w:val="both"/>
        <w:rPr>
          <w:color w:val="000000"/>
        </w:rPr>
      </w:pPr>
      <w:r>
        <w:rPr>
          <w:color w:val="000000"/>
        </w:rPr>
        <w:t> </w:t>
      </w:r>
    </w:p>
    <w:p>
      <w:pPr>
        <w:jc w:val="both"/>
        <w:rPr>
          <w:color w:val="000000"/>
        </w:rPr>
      </w:pPr>
      <w:r>
        <w:rPr>
          <w:color w:val="000000"/>
        </w:rPr>
        <w:t>In the current Year 12, students take three or four A Level subjects, continuing with at least three to full A level.  They can also take the Extended Project and qualify for the AQA Bacc.  The majority of our students proceed to courses at Universities and in the last academic year all students who made applications, successfully found suitable places in higher education.</w:t>
      </w:r>
    </w:p>
    <w:p>
      <w:pPr>
        <w:jc w:val="both"/>
        <w:rPr>
          <w:rFonts w:eastAsia="Times New Roman"/>
          <w:b/>
          <w:szCs w:val="28"/>
        </w:rPr>
      </w:pPr>
    </w:p>
    <w:p>
      <w:pPr>
        <w:jc w:val="both"/>
        <w:rPr>
          <w:szCs w:val="24"/>
          <w:lang w:val="en-AU"/>
        </w:rPr>
      </w:pPr>
      <w:r>
        <w:rPr>
          <w:b/>
          <w:sz w:val="28"/>
          <w:lang w:val="en-AU"/>
        </w:rPr>
        <w:t>THE DANCE DEPARTMENT</w:t>
      </w:r>
    </w:p>
    <w:p>
      <w:pPr>
        <w:jc w:val="both"/>
        <w:rPr>
          <w:b/>
          <w:bCs/>
          <w:szCs w:val="24"/>
          <w:lang w:val="en-AU"/>
        </w:rPr>
      </w:pPr>
      <w:r>
        <w:t>The Dance Department strives to develop a vibrant, healthy and diverse community of students who experience dance in many styles, whilst providing a forum for gifted dancers to be exposed to a higher standard of training.  The team is made up of 4 members of teaching staff.</w:t>
      </w:r>
    </w:p>
    <w:p>
      <w:pPr>
        <w:jc w:val="both"/>
        <w:rPr>
          <w:b/>
          <w:bCs/>
          <w:sz w:val="28"/>
          <w:szCs w:val="24"/>
          <w:lang w:val="en-AU"/>
        </w:rPr>
      </w:pPr>
    </w:p>
    <w:p>
      <w:pPr>
        <w:jc w:val="both"/>
        <w:rPr>
          <w:b/>
          <w:bCs/>
          <w:sz w:val="28"/>
          <w:szCs w:val="24"/>
          <w:lang w:val="en-AU"/>
        </w:rPr>
      </w:pPr>
      <w:r>
        <w:rPr>
          <w:b/>
          <w:bCs/>
          <w:sz w:val="28"/>
          <w:szCs w:val="24"/>
          <w:lang w:val="en-AU"/>
        </w:rPr>
        <w:t>Key Stage 3</w:t>
      </w:r>
    </w:p>
    <w:p>
      <w:pPr>
        <w:jc w:val="both"/>
        <w:rPr>
          <w:shd w:val="clear" w:color="auto" w:fill="F7F7F7"/>
        </w:rPr>
      </w:pPr>
      <w:r>
        <w:rPr>
          <w:shd w:val="clear" w:color="auto" w:fill="F7F7F7"/>
        </w:rPr>
        <w:t xml:space="preserve">At Key Stage 3, students take part in a number of different units covering different styles of dance such as Bharatanatyam, Break-Dance and Lindy Hop. However, there is focus on Contemporary dance and contact work throughout most units. The units also make cross-curricular links with other subjects such as Art, Drama, English and Music. Lessons include a range of choreography and appreciation tasks to encourage students to experiment with ideas </w:t>
      </w:r>
      <w:r>
        <w:rPr>
          <w:shd w:val="clear" w:color="auto" w:fill="F7F7F7"/>
        </w:rPr>
        <w:lastRenderedPageBreak/>
        <w:t>and be reflective learners. The content encourages students to work effectively in groups, sharing and listening to others’ ideas.</w:t>
      </w:r>
    </w:p>
    <w:p>
      <w:pPr>
        <w:jc w:val="both"/>
        <w:rPr>
          <w:szCs w:val="24"/>
          <w:lang w:val="en-AU"/>
        </w:rPr>
      </w:pPr>
    </w:p>
    <w:p>
      <w:pPr>
        <w:jc w:val="both"/>
        <w:rPr>
          <w:b/>
          <w:bCs/>
          <w:sz w:val="28"/>
          <w:szCs w:val="24"/>
          <w:lang w:val="en-AU"/>
        </w:rPr>
      </w:pPr>
      <w:r>
        <w:rPr>
          <w:b/>
          <w:bCs/>
          <w:sz w:val="28"/>
          <w:szCs w:val="24"/>
          <w:lang w:val="en-AU"/>
        </w:rPr>
        <w:t>Key Stage 4</w:t>
      </w:r>
    </w:p>
    <w:p>
      <w:pPr>
        <w:rPr>
          <w:lang w:eastAsia="en-GB"/>
        </w:rPr>
      </w:pPr>
      <w:r>
        <w:t>The subject content details the knowledge, understanding and skills that students are expected to learn during the course of study. This is set out in three core areas of dance: performance, choreography and appreciation.</w:t>
      </w:r>
    </w:p>
    <w:p/>
    <w:p>
      <w:r>
        <w:t>This specification recognises the role of dance in young people’s lives and students will study a range of dance styles and style fusions. Apart from the solo performance, they can choose any style in which to perform and choreograph, providing it meets the assessment criteria.</w:t>
      </w:r>
    </w:p>
    <w:p>
      <w:r>
        <w:t>The study of the anthology of professional works will develop their ability to critically appraise professional dance works and provide a springboard for engaging in practical tasks.</w:t>
      </w:r>
    </w:p>
    <w:p>
      <w:pPr>
        <w:jc w:val="both"/>
        <w:rPr>
          <w:szCs w:val="24"/>
          <w:lang w:val="en-AU"/>
        </w:rPr>
      </w:pPr>
    </w:p>
    <w:p>
      <w:pPr>
        <w:pStyle w:val="NoSpacing"/>
        <w:jc w:val="both"/>
        <w:rPr>
          <w:lang w:val="en-AU"/>
        </w:rPr>
      </w:pPr>
      <w:r>
        <w:rPr>
          <w:shd w:val="clear" w:color="auto" w:fill="F7F7F7"/>
        </w:rPr>
        <w:t>At Key Stage 4, students are fully assessed against the AQA mark schemes at the end of each unit of study. Students are made aware of the assessment objectives and assessment evidence required at the beginning of each unit. Students’ technical progress is monitored in class via self, peer and teacher assessment during practical tasks and technique classes. Instant feedback is given orally and smart targets are set.</w:t>
      </w:r>
    </w:p>
    <w:p>
      <w:pPr>
        <w:jc w:val="both"/>
        <w:rPr>
          <w:szCs w:val="24"/>
          <w:lang w:val="en-AU"/>
        </w:rPr>
      </w:pPr>
    </w:p>
    <w:p>
      <w:pPr>
        <w:jc w:val="both"/>
        <w:rPr>
          <w:szCs w:val="24"/>
          <w:lang w:val="en-AU"/>
        </w:rPr>
      </w:pPr>
    </w:p>
    <w:tbl>
      <w:tblPr>
        <w:tblW w:w="0" w:type="auto"/>
        <w:jc w:val="center"/>
        <w:tblCellMar>
          <w:left w:w="0" w:type="dxa"/>
          <w:right w:w="0" w:type="dxa"/>
        </w:tblCellMar>
        <w:tblLook w:val="04A0" w:firstRow="1" w:lastRow="0" w:firstColumn="1" w:lastColumn="0" w:noHBand="0" w:noVBand="1"/>
      </w:tblPr>
      <w:tblGrid>
        <w:gridCol w:w="1540"/>
        <w:gridCol w:w="1540"/>
      </w:tblGrid>
      <w:tr>
        <w:trPr>
          <w:jc w:val="center"/>
        </w:trPr>
        <w:tc>
          <w:tcPr>
            <w:tcW w:w="3080"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pPr>
              <w:spacing w:line="252" w:lineRule="auto"/>
              <w:jc w:val="center"/>
              <w:rPr>
                <w:b/>
                <w:bCs/>
                <w:color w:val="000000"/>
                <w:szCs w:val="24"/>
              </w:rPr>
            </w:pPr>
            <w:r>
              <w:rPr>
                <w:b/>
                <w:bCs/>
                <w:color w:val="000000"/>
                <w:szCs w:val="24"/>
              </w:rPr>
              <w:t xml:space="preserve"> % of total entries 2019 </w:t>
            </w:r>
          </w:p>
        </w:tc>
      </w:tr>
      <w:tr>
        <w:trPr>
          <w:jc w:val="center"/>
        </w:trPr>
        <w:tc>
          <w:tcPr>
            <w:tcW w:w="3080"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pPr>
              <w:spacing w:line="252" w:lineRule="auto"/>
              <w:jc w:val="center"/>
              <w:rPr>
                <w:b/>
                <w:bCs/>
                <w:color w:val="000000"/>
                <w:szCs w:val="24"/>
              </w:rPr>
            </w:pPr>
            <w:r>
              <w:rPr>
                <w:b/>
                <w:bCs/>
                <w:color w:val="000000"/>
                <w:szCs w:val="24"/>
              </w:rPr>
              <w:t>DANCE</w:t>
            </w:r>
          </w:p>
        </w:tc>
      </w:tr>
      <w:tr>
        <w:trPr>
          <w:jc w:val="center"/>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spacing w:line="252" w:lineRule="auto"/>
              <w:jc w:val="center"/>
              <w:rPr>
                <w:color w:val="000000"/>
                <w:szCs w:val="24"/>
              </w:rPr>
            </w:pPr>
            <w:r>
              <w:rPr>
                <w:color w:val="000000"/>
                <w:szCs w:val="24"/>
              </w:rPr>
              <w:t>9-7</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tcPr>
          <w:p>
            <w:pPr>
              <w:spacing w:line="252" w:lineRule="auto"/>
              <w:jc w:val="center"/>
              <w:rPr>
                <w:color w:val="000000"/>
                <w:szCs w:val="24"/>
              </w:rPr>
            </w:pPr>
            <w:r>
              <w:rPr>
                <w:color w:val="000000"/>
                <w:szCs w:val="24"/>
              </w:rPr>
              <w:t>72.4</w:t>
            </w:r>
          </w:p>
        </w:tc>
      </w:tr>
      <w:tr>
        <w:trPr>
          <w:jc w:val="center"/>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spacing w:line="252" w:lineRule="auto"/>
              <w:jc w:val="center"/>
              <w:rPr>
                <w:color w:val="000000"/>
                <w:szCs w:val="24"/>
              </w:rPr>
            </w:pPr>
            <w:r>
              <w:rPr>
                <w:color w:val="000000"/>
                <w:szCs w:val="24"/>
              </w:rPr>
              <w:t>9-5</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tcPr>
          <w:p>
            <w:pPr>
              <w:spacing w:line="252" w:lineRule="auto"/>
              <w:jc w:val="center"/>
              <w:rPr>
                <w:color w:val="000000"/>
                <w:szCs w:val="24"/>
              </w:rPr>
            </w:pPr>
            <w:r>
              <w:rPr>
                <w:color w:val="000000"/>
                <w:szCs w:val="24"/>
              </w:rPr>
              <w:t>96.6</w:t>
            </w:r>
          </w:p>
        </w:tc>
      </w:tr>
    </w:tbl>
    <w:p>
      <w:pPr>
        <w:jc w:val="both"/>
        <w:rPr>
          <w:b/>
          <w:bCs/>
          <w:sz w:val="28"/>
          <w:szCs w:val="24"/>
          <w:lang w:val="en-AU"/>
        </w:rPr>
      </w:pPr>
      <w:r>
        <w:rPr>
          <w:b/>
          <w:bCs/>
          <w:sz w:val="28"/>
          <w:szCs w:val="24"/>
          <w:lang w:val="en-AU"/>
        </w:rPr>
        <w:br/>
        <w:t xml:space="preserve">Key Stage 5          </w:t>
      </w:r>
    </w:p>
    <w:p>
      <w:pPr>
        <w:jc w:val="both"/>
        <w:rPr>
          <w:shd w:val="clear" w:color="auto" w:fill="F7F7F7"/>
        </w:rPr>
      </w:pPr>
      <w:r>
        <w:rPr>
          <w:shd w:val="clear" w:color="auto" w:fill="F7F7F7"/>
        </w:rPr>
        <w:t xml:space="preserve">The course involves studying Dance in both practical and academic contexts. Technical training, predominantly in contemporary dance will focus on developing physical and performance skills. Choreography and repertory performance which are central to the course, are developed in the studio through workshops and rehearsal in preparation for public performance and a practical exam.  The course provides an excellent grounding in the practical and academic skills required for degree level study and training in Dance. </w:t>
      </w:r>
    </w:p>
    <w:p>
      <w:pPr>
        <w:pStyle w:val="NoSpacing"/>
        <w:rPr>
          <w:szCs w:val="24"/>
          <w:lang w:val="en-AU"/>
        </w:rPr>
      </w:pPr>
    </w:p>
    <w:tbl>
      <w:tblPr>
        <w:tblW w:w="0" w:type="auto"/>
        <w:jc w:val="center"/>
        <w:tblCellMar>
          <w:left w:w="0" w:type="dxa"/>
          <w:right w:w="0" w:type="dxa"/>
        </w:tblCellMar>
        <w:tblLook w:val="04A0" w:firstRow="1" w:lastRow="0" w:firstColumn="1" w:lastColumn="0" w:noHBand="0" w:noVBand="1"/>
      </w:tblPr>
      <w:tblGrid>
        <w:gridCol w:w="1540"/>
        <w:gridCol w:w="1540"/>
      </w:tblGrid>
      <w:tr>
        <w:trPr>
          <w:jc w:val="center"/>
        </w:trPr>
        <w:tc>
          <w:tcPr>
            <w:tcW w:w="3080"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pPr>
              <w:spacing w:line="252" w:lineRule="auto"/>
              <w:jc w:val="center"/>
              <w:rPr>
                <w:b/>
                <w:bCs/>
                <w:color w:val="000000"/>
                <w:szCs w:val="24"/>
              </w:rPr>
            </w:pPr>
            <w:r>
              <w:rPr>
                <w:b/>
                <w:bCs/>
                <w:color w:val="000000"/>
                <w:szCs w:val="24"/>
              </w:rPr>
              <w:t>% of total entries 2019</w:t>
            </w:r>
          </w:p>
        </w:tc>
      </w:tr>
      <w:tr>
        <w:trPr>
          <w:jc w:val="center"/>
        </w:trPr>
        <w:tc>
          <w:tcPr>
            <w:tcW w:w="3080"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pPr>
              <w:spacing w:line="252" w:lineRule="auto"/>
              <w:jc w:val="center"/>
              <w:rPr>
                <w:b/>
                <w:bCs/>
                <w:color w:val="000000"/>
                <w:szCs w:val="24"/>
              </w:rPr>
            </w:pPr>
            <w:r>
              <w:rPr>
                <w:b/>
                <w:bCs/>
                <w:color w:val="000000"/>
                <w:szCs w:val="24"/>
              </w:rPr>
              <w:t>DANCE</w:t>
            </w:r>
          </w:p>
        </w:tc>
      </w:tr>
      <w:tr>
        <w:trPr>
          <w:jc w:val="center"/>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spacing w:line="252" w:lineRule="auto"/>
              <w:jc w:val="center"/>
              <w:rPr>
                <w:color w:val="000000"/>
                <w:szCs w:val="24"/>
              </w:rPr>
            </w:pPr>
            <w:r>
              <w:rPr>
                <w:color w:val="000000"/>
                <w:szCs w:val="24"/>
              </w:rPr>
              <w:t>A*-B</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tcPr>
          <w:p>
            <w:pPr>
              <w:spacing w:line="252" w:lineRule="auto"/>
              <w:jc w:val="center"/>
              <w:rPr>
                <w:color w:val="000000"/>
                <w:szCs w:val="24"/>
              </w:rPr>
            </w:pPr>
            <w:r>
              <w:rPr>
                <w:color w:val="000000"/>
                <w:szCs w:val="24"/>
              </w:rPr>
              <w:t>75</w:t>
            </w:r>
          </w:p>
        </w:tc>
      </w:tr>
      <w:tr>
        <w:trPr>
          <w:jc w:val="center"/>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spacing w:line="252" w:lineRule="auto"/>
              <w:jc w:val="center"/>
              <w:rPr>
                <w:color w:val="000000"/>
                <w:szCs w:val="24"/>
              </w:rPr>
            </w:pPr>
            <w:r>
              <w:rPr>
                <w:color w:val="000000"/>
                <w:szCs w:val="24"/>
              </w:rPr>
              <w:t>A*-E</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tcPr>
          <w:p>
            <w:pPr>
              <w:spacing w:line="252" w:lineRule="auto"/>
              <w:jc w:val="center"/>
              <w:rPr>
                <w:color w:val="000000"/>
                <w:szCs w:val="24"/>
              </w:rPr>
            </w:pPr>
            <w:r>
              <w:rPr>
                <w:color w:val="000000"/>
                <w:szCs w:val="24"/>
              </w:rPr>
              <w:t>100</w:t>
            </w:r>
          </w:p>
        </w:tc>
      </w:tr>
    </w:tbl>
    <w:p>
      <w:pPr>
        <w:jc w:val="both"/>
        <w:rPr>
          <w:szCs w:val="24"/>
          <w:lang w:val="en-AU"/>
        </w:rPr>
      </w:pPr>
    </w:p>
    <w:p>
      <w:pPr>
        <w:jc w:val="both"/>
        <w:rPr>
          <w:szCs w:val="24"/>
          <w:lang w:val="en-AU"/>
        </w:rPr>
      </w:pPr>
    </w:p>
    <w:p>
      <w:pPr>
        <w:jc w:val="center"/>
        <w:rPr>
          <w:rFonts w:eastAsia="Times New Roman"/>
          <w:i/>
          <w:sz w:val="22"/>
          <w:lang w:eastAsia="en-GB"/>
        </w:rPr>
      </w:pPr>
    </w:p>
    <w:p>
      <w:pPr>
        <w:jc w:val="center"/>
        <w:rPr>
          <w:sz w:val="20"/>
        </w:rPr>
      </w:pPr>
      <w:r>
        <w:rPr>
          <w:rFonts w:eastAsia="Times New Roman"/>
          <w:i/>
          <w:sz w:val="22"/>
          <w:lang w:eastAsia="en-GB"/>
        </w:rPr>
        <w:t xml:space="preserve">Highworth Grammar School is committed to safeguarding and promoting the welfare of young people. </w:t>
      </w:r>
      <w:r>
        <w:rPr>
          <w:rFonts w:cs="Arial"/>
          <w:i/>
          <w:sz w:val="22"/>
        </w:rPr>
        <w:t>This post will require an enhanced disclosure from the Disclosure &amp; Barring Service (DBS)</w:t>
      </w:r>
    </w:p>
    <w:sectPr>
      <w:headerReference w:type="even" r:id="rId14"/>
      <w:headerReference w:type="default" r:id="rId15"/>
      <w:footerReference w:type="even" r:id="rId16"/>
      <w:footerReference w:type="default" r:id="rId17"/>
      <w:headerReference w:type="first" r:id="rId18"/>
      <w:footerReference w:type="first" r:id="rId19"/>
      <w:pgSz w:w="11906" w:h="16838"/>
      <w:pgMar w:top="567" w:right="1304" w:bottom="56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2AE"/>
    <w:multiLevelType w:val="hybridMultilevel"/>
    <w:tmpl w:val="CCF8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05B05"/>
    <w:multiLevelType w:val="hybridMultilevel"/>
    <w:tmpl w:val="20AA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81A0F"/>
    <w:multiLevelType w:val="hybridMultilevel"/>
    <w:tmpl w:val="DD8A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42C3"/>
    <w:multiLevelType w:val="hybridMultilevel"/>
    <w:tmpl w:val="E864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11B26"/>
    <w:multiLevelType w:val="hybridMultilevel"/>
    <w:tmpl w:val="7554B910"/>
    <w:lvl w:ilvl="0" w:tplc="08090001">
      <w:start w:val="1"/>
      <w:numFmt w:val="bullet"/>
      <w:lvlText w:val=""/>
      <w:lvlJc w:val="left"/>
      <w:pPr>
        <w:tabs>
          <w:tab w:val="num" w:pos="720"/>
        </w:tabs>
        <w:ind w:left="720" w:hanging="360"/>
      </w:pPr>
      <w:rPr>
        <w:rFonts w:ascii="Symbol" w:hAnsi="Symbol" w:hint="default"/>
      </w:rPr>
    </w:lvl>
    <w:lvl w:ilvl="1" w:tplc="2E526B98">
      <w:start w:val="5"/>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4F2B3B"/>
    <w:multiLevelType w:val="hybridMultilevel"/>
    <w:tmpl w:val="87AC707E"/>
    <w:lvl w:ilvl="0" w:tplc="3B409578">
      <w:start w:val="5"/>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AE6E5E"/>
    <w:multiLevelType w:val="hybridMultilevel"/>
    <w:tmpl w:val="A062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D42AE"/>
    <w:multiLevelType w:val="hybridMultilevel"/>
    <w:tmpl w:val="0C2A07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3BA00AA"/>
    <w:multiLevelType w:val="hybridMultilevel"/>
    <w:tmpl w:val="42C26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8"/>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6145">
      <o:colormru v:ext="edit" colors="#00297a,#002d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97a,#002d86"/>
    </o:shapedefaults>
    <o:shapelayout v:ext="edit">
      <o:idmap v:ext="edit" data="1"/>
    </o:shapelayout>
  </w:shapeDefaults>
  <w:decimalSymbol w:val="."/>
  <w:listSeparator w:val=","/>
  <w15:chartTrackingRefBased/>
  <w15:docId w15:val="{C7BD99E8-D669-4494-BB35-53787259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2"/>
      <w:lang w:eastAsia="en-US"/>
    </w:rPr>
  </w:style>
  <w:style w:type="paragraph" w:styleId="Heading2">
    <w:name w:val="heading 2"/>
    <w:basedOn w:val="Normal"/>
    <w:next w:val="Normal"/>
    <w:link w:val="Heading2Char"/>
    <w:qFormat/>
    <w:pPr>
      <w:keepNext/>
      <w:spacing w:before="240" w:after="60"/>
      <w:outlineLvl w:val="1"/>
    </w:pPr>
    <w:rPr>
      <w:rFonts w:ascii="Arial" w:eastAsia="Times New Roman" w:hAnsi="Arial" w:cs="Arial"/>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rPr>
      <w:sz w:val="22"/>
      <w:lang w:eastAsia="en-GB"/>
    </w:rPr>
  </w:style>
  <w:style w:type="character" w:customStyle="1" w:styleId="Heading2Char">
    <w:name w:val="Heading 2 Char"/>
    <w:link w:val="Heading2"/>
    <w:rPr>
      <w:rFonts w:ascii="Arial" w:eastAsia="Times New Roman" w:hAnsi="Arial" w:cs="Arial"/>
      <w:b/>
      <w:bCs/>
      <w:i/>
      <w:iCs/>
      <w:sz w:val="28"/>
      <w:szCs w:val="28"/>
      <w:lang w:val="en-AU" w:eastAsia="en-US"/>
    </w:rPr>
  </w:style>
  <w:style w:type="paragraph" w:styleId="BodyText">
    <w:name w:val="Body Text"/>
    <w:basedOn w:val="Normal"/>
    <w:link w:val="BodyTextChar"/>
    <w:pPr>
      <w:tabs>
        <w:tab w:val="left" w:pos="-720"/>
      </w:tabs>
      <w:suppressAutoHyphens/>
      <w:jc w:val="both"/>
    </w:pPr>
    <w:rPr>
      <w:rFonts w:ascii="Times New Roman" w:eastAsia="Times New Roman" w:hAnsi="Times New Roman"/>
      <w:spacing w:val="-3"/>
      <w:szCs w:val="20"/>
    </w:rPr>
  </w:style>
  <w:style w:type="character" w:customStyle="1" w:styleId="BodyTextChar">
    <w:name w:val="Body Text Char"/>
    <w:link w:val="BodyText"/>
    <w:rPr>
      <w:rFonts w:ascii="Times New Roman" w:eastAsia="Times New Roman" w:hAnsi="Times New Roman"/>
      <w:spacing w:val="-3"/>
      <w:sz w:val="24"/>
      <w:lang w:eastAsia="en-US"/>
    </w:rPr>
  </w:style>
  <w:style w:type="paragraph" w:styleId="NoSpacing">
    <w:name w:val="No Spacing"/>
    <w:uiPriority w:val="1"/>
    <w:qFormat/>
    <w:rPr>
      <w:sz w:val="24"/>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2"/>
      <w:lang w:eastAsia="en-U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74653">
      <w:bodyDiv w:val="1"/>
      <w:marLeft w:val="0"/>
      <w:marRight w:val="0"/>
      <w:marTop w:val="0"/>
      <w:marBottom w:val="0"/>
      <w:divBdr>
        <w:top w:val="none" w:sz="0" w:space="0" w:color="auto"/>
        <w:left w:val="none" w:sz="0" w:space="0" w:color="auto"/>
        <w:bottom w:val="none" w:sz="0" w:space="0" w:color="auto"/>
        <w:right w:val="none" w:sz="0" w:space="0" w:color="auto"/>
      </w:divBdr>
    </w:div>
    <w:div w:id="304437491">
      <w:bodyDiv w:val="1"/>
      <w:marLeft w:val="0"/>
      <w:marRight w:val="0"/>
      <w:marTop w:val="0"/>
      <w:marBottom w:val="0"/>
      <w:divBdr>
        <w:top w:val="none" w:sz="0" w:space="0" w:color="auto"/>
        <w:left w:val="none" w:sz="0" w:space="0" w:color="auto"/>
        <w:bottom w:val="none" w:sz="0" w:space="0" w:color="auto"/>
        <w:right w:val="none" w:sz="0" w:space="0" w:color="auto"/>
      </w:divBdr>
    </w:div>
    <w:div w:id="510949827">
      <w:bodyDiv w:val="1"/>
      <w:marLeft w:val="0"/>
      <w:marRight w:val="0"/>
      <w:marTop w:val="0"/>
      <w:marBottom w:val="0"/>
      <w:divBdr>
        <w:top w:val="none" w:sz="0" w:space="0" w:color="auto"/>
        <w:left w:val="none" w:sz="0" w:space="0" w:color="auto"/>
        <w:bottom w:val="none" w:sz="0" w:space="0" w:color="auto"/>
        <w:right w:val="none" w:sz="0" w:space="0" w:color="auto"/>
      </w:divBdr>
    </w:div>
    <w:div w:id="732889573">
      <w:bodyDiv w:val="1"/>
      <w:marLeft w:val="0"/>
      <w:marRight w:val="0"/>
      <w:marTop w:val="0"/>
      <w:marBottom w:val="0"/>
      <w:divBdr>
        <w:top w:val="none" w:sz="0" w:space="0" w:color="auto"/>
        <w:left w:val="none" w:sz="0" w:space="0" w:color="auto"/>
        <w:bottom w:val="none" w:sz="0" w:space="0" w:color="auto"/>
        <w:right w:val="none" w:sz="0" w:space="0" w:color="auto"/>
      </w:divBdr>
    </w:div>
    <w:div w:id="1056317444">
      <w:bodyDiv w:val="1"/>
      <w:marLeft w:val="0"/>
      <w:marRight w:val="0"/>
      <w:marTop w:val="0"/>
      <w:marBottom w:val="0"/>
      <w:divBdr>
        <w:top w:val="none" w:sz="0" w:space="0" w:color="auto"/>
        <w:left w:val="none" w:sz="0" w:space="0" w:color="auto"/>
        <w:bottom w:val="none" w:sz="0" w:space="0" w:color="auto"/>
        <w:right w:val="none" w:sz="0" w:space="0" w:color="auto"/>
      </w:divBdr>
    </w:div>
    <w:div w:id="1137450844">
      <w:bodyDiv w:val="1"/>
      <w:marLeft w:val="0"/>
      <w:marRight w:val="0"/>
      <w:marTop w:val="0"/>
      <w:marBottom w:val="0"/>
      <w:divBdr>
        <w:top w:val="none" w:sz="0" w:space="0" w:color="auto"/>
        <w:left w:val="none" w:sz="0" w:space="0" w:color="auto"/>
        <w:bottom w:val="none" w:sz="0" w:space="0" w:color="auto"/>
        <w:right w:val="none" w:sz="0" w:space="0" w:color="auto"/>
      </w:divBdr>
    </w:div>
    <w:div w:id="1489829934">
      <w:bodyDiv w:val="1"/>
      <w:marLeft w:val="0"/>
      <w:marRight w:val="0"/>
      <w:marTop w:val="0"/>
      <w:marBottom w:val="0"/>
      <w:divBdr>
        <w:top w:val="none" w:sz="0" w:space="0" w:color="auto"/>
        <w:left w:val="none" w:sz="0" w:space="0" w:color="auto"/>
        <w:bottom w:val="none" w:sz="0" w:space="0" w:color="auto"/>
        <w:right w:val="none" w:sz="0" w:space="0" w:color="auto"/>
      </w:divBdr>
    </w:div>
    <w:div w:id="1763838707">
      <w:bodyDiv w:val="1"/>
      <w:marLeft w:val="0"/>
      <w:marRight w:val="0"/>
      <w:marTop w:val="0"/>
      <w:marBottom w:val="0"/>
      <w:divBdr>
        <w:top w:val="none" w:sz="0" w:space="0" w:color="auto"/>
        <w:left w:val="none" w:sz="0" w:space="0" w:color="auto"/>
        <w:bottom w:val="none" w:sz="0" w:space="0" w:color="auto"/>
        <w:right w:val="none" w:sz="0" w:space="0" w:color="auto"/>
      </w:divBdr>
      <w:divsChild>
        <w:div w:id="1085805051">
          <w:marLeft w:val="0"/>
          <w:marRight w:val="0"/>
          <w:marTop w:val="0"/>
          <w:marBottom w:val="0"/>
          <w:divBdr>
            <w:top w:val="none" w:sz="0" w:space="0" w:color="auto"/>
            <w:left w:val="none" w:sz="0" w:space="0" w:color="auto"/>
            <w:bottom w:val="none" w:sz="0" w:space="0" w:color="auto"/>
            <w:right w:val="none" w:sz="0" w:space="0" w:color="auto"/>
          </w:divBdr>
          <w:divsChild>
            <w:div w:id="1187602287">
              <w:marLeft w:val="0"/>
              <w:marRight w:val="0"/>
              <w:marTop w:val="0"/>
              <w:marBottom w:val="0"/>
              <w:divBdr>
                <w:top w:val="none" w:sz="0" w:space="0" w:color="auto"/>
                <w:left w:val="none" w:sz="0" w:space="0" w:color="auto"/>
                <w:bottom w:val="none" w:sz="0" w:space="0" w:color="auto"/>
                <w:right w:val="none" w:sz="0" w:space="0" w:color="auto"/>
              </w:divBdr>
              <w:divsChild>
                <w:div w:id="1133060527">
                  <w:marLeft w:val="0"/>
                  <w:marRight w:val="0"/>
                  <w:marTop w:val="0"/>
                  <w:marBottom w:val="0"/>
                  <w:divBdr>
                    <w:top w:val="none" w:sz="0" w:space="0" w:color="auto"/>
                    <w:left w:val="none" w:sz="0" w:space="0" w:color="auto"/>
                    <w:bottom w:val="none" w:sz="0" w:space="0" w:color="auto"/>
                    <w:right w:val="none" w:sz="0" w:space="0" w:color="auto"/>
                  </w:divBdr>
                  <w:divsChild>
                    <w:div w:id="2134059566">
                      <w:marLeft w:val="0"/>
                      <w:marRight w:val="0"/>
                      <w:marTop w:val="0"/>
                      <w:marBottom w:val="0"/>
                      <w:divBdr>
                        <w:top w:val="none" w:sz="0" w:space="0" w:color="auto"/>
                        <w:left w:val="none" w:sz="0" w:space="0" w:color="auto"/>
                        <w:bottom w:val="none" w:sz="0" w:space="0" w:color="auto"/>
                        <w:right w:val="none" w:sz="0" w:space="0" w:color="auto"/>
                      </w:divBdr>
                      <w:divsChild>
                        <w:div w:id="371076153">
                          <w:marLeft w:val="0"/>
                          <w:marRight w:val="0"/>
                          <w:marTop w:val="0"/>
                          <w:marBottom w:val="0"/>
                          <w:divBdr>
                            <w:top w:val="none" w:sz="0" w:space="0" w:color="auto"/>
                            <w:left w:val="none" w:sz="0" w:space="0" w:color="auto"/>
                            <w:bottom w:val="none" w:sz="0" w:space="0" w:color="auto"/>
                            <w:right w:val="none" w:sz="0" w:space="0" w:color="auto"/>
                          </w:divBdr>
                        </w:div>
                        <w:div w:id="593052973">
                          <w:marLeft w:val="0"/>
                          <w:marRight w:val="0"/>
                          <w:marTop w:val="0"/>
                          <w:marBottom w:val="0"/>
                          <w:divBdr>
                            <w:top w:val="none" w:sz="0" w:space="0" w:color="auto"/>
                            <w:left w:val="none" w:sz="0" w:space="0" w:color="auto"/>
                            <w:bottom w:val="none" w:sz="0" w:space="0" w:color="auto"/>
                            <w:right w:val="none" w:sz="0" w:space="0" w:color="auto"/>
                          </w:divBdr>
                        </w:div>
                        <w:div w:id="608048176">
                          <w:marLeft w:val="0"/>
                          <w:marRight w:val="0"/>
                          <w:marTop w:val="0"/>
                          <w:marBottom w:val="0"/>
                          <w:divBdr>
                            <w:top w:val="none" w:sz="0" w:space="0" w:color="auto"/>
                            <w:left w:val="none" w:sz="0" w:space="0" w:color="auto"/>
                            <w:bottom w:val="none" w:sz="0" w:space="0" w:color="auto"/>
                            <w:right w:val="none" w:sz="0" w:space="0" w:color="auto"/>
                          </w:divBdr>
                        </w:div>
                        <w:div w:id="18412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ighworth.kent.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highworth.kent.sch.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ighworth.kent.sch.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HR@highworth.kent.sch.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ritchar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1AB6-A45A-4707-87E0-08903685940A}">
  <ds:schemaRefs>
    <ds:schemaRef ds:uri="urn:schemas-microsoft-com.VSTO2008Demos.ControlsStorage"/>
  </ds:schemaRefs>
</ds:datastoreItem>
</file>

<file path=customXml/itemProps2.xml><?xml version="1.0" encoding="utf-8"?>
<ds:datastoreItem xmlns:ds="http://schemas.openxmlformats.org/officeDocument/2006/customXml" ds:itemID="{6A25ED75-6A19-4F07-85EA-A80DC407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Highworth Grammar School</Company>
  <LinksUpToDate>false</LinksUpToDate>
  <CharactersWithSpaces>7186</CharactersWithSpaces>
  <SharedDoc>false</SharedDoc>
  <HLinks>
    <vt:vector size="12" baseType="variant">
      <vt:variant>
        <vt:i4>4456475</vt:i4>
      </vt:variant>
      <vt:variant>
        <vt:i4>3</vt:i4>
      </vt:variant>
      <vt:variant>
        <vt:i4>0</vt:i4>
      </vt:variant>
      <vt:variant>
        <vt:i4>5</vt:i4>
      </vt:variant>
      <vt:variant>
        <vt:lpwstr>http://www.highworth.kent.sch.uk/</vt:lpwstr>
      </vt:variant>
      <vt:variant>
        <vt:lpwstr/>
      </vt:variant>
      <vt:variant>
        <vt:i4>196644</vt:i4>
      </vt:variant>
      <vt:variant>
        <vt:i4>0</vt:i4>
      </vt:variant>
      <vt:variant>
        <vt:i4>0</vt:i4>
      </vt:variant>
      <vt:variant>
        <vt:i4>5</vt:i4>
      </vt:variant>
      <vt:variant>
        <vt:lpwstr>mailto:office@highworth.kent.sch.uk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rayment</dc:creator>
  <cp:keywords/>
  <cp:lastModifiedBy>Rayment, S</cp:lastModifiedBy>
  <cp:revision>4</cp:revision>
  <cp:lastPrinted>2016-12-13T12:15:00Z</cp:lastPrinted>
  <dcterms:created xsi:type="dcterms:W3CDTF">2021-09-29T08:16:00Z</dcterms:created>
  <dcterms:modified xsi:type="dcterms:W3CDTF">2021-09-29T10:13:00Z</dcterms:modified>
</cp:coreProperties>
</file>