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E5" w:rsidRDefault="00D14AA0" w:rsidP="00D14AA0">
      <w:pPr>
        <w:jc w:val="center"/>
        <w:rPr>
          <w:rFonts w:ascii="Bookman Old Style" w:hAnsi="Bookman Old Style"/>
          <w:sz w:val="24"/>
          <w:szCs w:val="24"/>
          <w:u w:val="single"/>
        </w:rPr>
      </w:pPr>
      <w:proofErr w:type="spellStart"/>
      <w:r>
        <w:rPr>
          <w:rFonts w:ascii="Bookman Old Style" w:hAnsi="Bookman Old Style"/>
          <w:sz w:val="24"/>
          <w:szCs w:val="24"/>
          <w:u w:val="single"/>
        </w:rPr>
        <w:t>Leybourne</w:t>
      </w:r>
      <w:proofErr w:type="spellEnd"/>
      <w:r>
        <w:rPr>
          <w:rFonts w:ascii="Bookman Old Style" w:hAnsi="Bookman Old Style"/>
          <w:sz w:val="24"/>
          <w:szCs w:val="24"/>
          <w:u w:val="single"/>
        </w:rPr>
        <w:t xml:space="preserve"> SS Peter and Paul CEP Academy</w:t>
      </w:r>
    </w:p>
    <w:p w:rsidR="00D14AA0" w:rsidRDefault="00D14AA0" w:rsidP="00D14AA0">
      <w:pPr>
        <w:jc w:val="center"/>
        <w:rPr>
          <w:rFonts w:ascii="Bookman Old Style" w:hAnsi="Bookman Old Style"/>
          <w:sz w:val="24"/>
          <w:szCs w:val="24"/>
          <w:u w:val="single"/>
        </w:rPr>
      </w:pPr>
      <w:r>
        <w:rPr>
          <w:rFonts w:ascii="Bookman Old Style" w:hAnsi="Bookman Old Style"/>
          <w:sz w:val="24"/>
          <w:szCs w:val="24"/>
          <w:u w:val="single"/>
        </w:rPr>
        <w:t>SEND Teaching Assistant – Job Description</w:t>
      </w:r>
    </w:p>
    <w:p w:rsidR="00D14AA0" w:rsidRDefault="00D14AA0" w:rsidP="00D14AA0">
      <w:pPr>
        <w:jc w:val="center"/>
        <w:rPr>
          <w:rFonts w:ascii="Bookman Old Style" w:hAnsi="Bookman Old Style"/>
          <w:sz w:val="24"/>
          <w:szCs w:val="24"/>
          <w:u w:val="single"/>
        </w:rPr>
      </w:pP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Post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SEND Teaching Assistant</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Grade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Tenax</w:t>
      </w:r>
      <w:proofErr w:type="spellEnd"/>
      <w:r>
        <w:rPr>
          <w:rFonts w:ascii="Bookman Old Style" w:hAnsi="Bookman Old Style"/>
          <w:sz w:val="24"/>
          <w:szCs w:val="24"/>
        </w:rPr>
        <w:t xml:space="preserve"> Scale 5</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Responsible to </w:t>
      </w:r>
      <w:r>
        <w:rPr>
          <w:rFonts w:ascii="Bookman Old Style" w:hAnsi="Bookman Old Style"/>
          <w:sz w:val="24"/>
          <w:szCs w:val="24"/>
        </w:rPr>
        <w:tab/>
      </w:r>
      <w:r>
        <w:rPr>
          <w:rFonts w:ascii="Bookman Old Style" w:hAnsi="Bookman Old Style"/>
          <w:sz w:val="24"/>
          <w:szCs w:val="24"/>
        </w:rPr>
        <w:tab/>
        <w:t>SEND Manager</w:t>
      </w:r>
    </w:p>
    <w:p w:rsidR="00D14AA0" w:rsidRDefault="00D14AA0" w:rsidP="00D14AA0">
      <w:pPr>
        <w:jc w:val="both"/>
        <w:rPr>
          <w:rFonts w:ascii="Bookman Old Style" w:hAnsi="Bookman Old Style"/>
          <w:sz w:val="24"/>
          <w:szCs w:val="24"/>
        </w:rPr>
      </w:pPr>
      <w:r>
        <w:rPr>
          <w:rFonts w:ascii="Bookman Old Style" w:hAnsi="Bookman Old Style"/>
          <w:sz w:val="24"/>
          <w:szCs w:val="24"/>
        </w:rPr>
        <w:t>Hours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4C6FA0">
        <w:rPr>
          <w:rFonts w:ascii="Bookman Old Style" w:hAnsi="Bookman Old Style"/>
          <w:sz w:val="24"/>
          <w:szCs w:val="24"/>
        </w:rPr>
        <w:t xml:space="preserve">30 </w:t>
      </w:r>
      <w:r>
        <w:rPr>
          <w:rFonts w:ascii="Bookman Old Style" w:hAnsi="Bookman Old Style"/>
          <w:sz w:val="24"/>
          <w:szCs w:val="24"/>
        </w:rPr>
        <w:t>hours per week, term time only</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Principal accountabilities</w:t>
      </w:r>
    </w:p>
    <w:p w:rsidR="00D14AA0" w:rsidRDefault="00D14AA0" w:rsidP="00D14AA0">
      <w:pPr>
        <w:jc w:val="both"/>
        <w:rPr>
          <w:rFonts w:ascii="Bookman Old Style" w:hAnsi="Bookman Old Style"/>
          <w:sz w:val="24"/>
          <w:szCs w:val="24"/>
        </w:rPr>
      </w:pPr>
      <w:r>
        <w:rPr>
          <w:rFonts w:ascii="Bookman Old Style" w:hAnsi="Bookman Old Style"/>
          <w:sz w:val="24"/>
          <w:szCs w:val="24"/>
        </w:rPr>
        <w:t>The duties outlined in this job description are in addition to those covered by the Local Government Terms and Conditions Document. It may be modified by the Headteacher, with your agreement, to reflect or anticipate changes in this job, commensurate with the salary and job title.</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Job summary</w:t>
      </w:r>
    </w:p>
    <w:p w:rsidR="00D14AA0" w:rsidRPr="00D14AA0" w:rsidRDefault="00D14AA0" w:rsidP="00D14AA0">
      <w:pPr>
        <w:jc w:val="both"/>
        <w:rPr>
          <w:rFonts w:ascii="Bookman Old Style" w:hAnsi="Bookman Old Style"/>
          <w:sz w:val="24"/>
          <w:szCs w:val="24"/>
        </w:rPr>
      </w:pPr>
      <w:r>
        <w:rPr>
          <w:rFonts w:ascii="Bookman Old Style" w:hAnsi="Bookman Old Style"/>
          <w:sz w:val="24"/>
          <w:szCs w:val="24"/>
        </w:rPr>
        <w:t xml:space="preserve">To work under the guidance of the SEND Manager and other designated senior staff to deliver focussed intervention for vulnerable learners; to plan </w:t>
      </w:r>
      <w:r w:rsidRPr="00D14AA0">
        <w:rPr>
          <w:rFonts w:ascii="Bookman Old Style" w:hAnsi="Bookman Old Style"/>
          <w:sz w:val="24"/>
          <w:szCs w:val="24"/>
        </w:rPr>
        <w:t>for, resource and deliver high quality support.</w:t>
      </w:r>
    </w:p>
    <w:p w:rsidR="00D14AA0" w:rsidRDefault="00D14AA0" w:rsidP="00D14AA0">
      <w:pPr>
        <w:spacing w:after="0" w:line="240" w:lineRule="auto"/>
        <w:jc w:val="both"/>
        <w:rPr>
          <w:rFonts w:ascii="Bookman Old Style" w:hAnsi="Bookman Old Style"/>
          <w:sz w:val="24"/>
          <w:szCs w:val="24"/>
        </w:rPr>
      </w:pPr>
      <w:r>
        <w:rPr>
          <w:rFonts w:ascii="Bookman Old Style" w:hAnsi="Bookman Old Style"/>
          <w:sz w:val="24"/>
          <w:szCs w:val="24"/>
        </w:rPr>
        <w:t>Key tasks</w:t>
      </w:r>
    </w:p>
    <w:p w:rsidR="00D14AA0"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Work with individuals and groups of pupils with additional needs under the direction of the SEND Manager</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Plan and organise learning activities for the pupils being supported</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Provide support in a manner which facilitates the child’s cognitive development by removing barriers to learning </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Ensure the physical welfare of pupils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Clarify, modify, adapt and create materials at an appropriate level according to need</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Contribute to setting and reviewing individual targets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Attend and contribute to Provision Map Review meetings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Attend and contribute to meetings to review pupils’ progress, and contribute to written reports.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Monitor the progress of identified pupils, keeping written records consistent with school systems and provide staff with feedback on progress in relation to provision</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Liaise with professionals and external agencies where appropriate under the direction of the SEND Manager</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Liaise with staff and parents as appropriate</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Contribute to the target setting and review process and support pupils in meeting specific targets, including those identified in ISPs and EHCPs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Maintain and monitor the use of specialist equipment and promote optimum use of specialist equipment</w:t>
      </w:r>
    </w:p>
    <w:p w:rsidR="00B536AC" w:rsidRDefault="00BD5DC3" w:rsidP="00D14AA0">
      <w:pPr>
        <w:pStyle w:val="ListParagraph"/>
        <w:numPr>
          <w:ilvl w:val="0"/>
          <w:numId w:val="2"/>
        </w:numPr>
        <w:spacing w:after="0" w:line="240" w:lineRule="auto"/>
        <w:jc w:val="both"/>
        <w:rPr>
          <w:rFonts w:ascii="Bookman Old Style" w:hAnsi="Bookman Old Style"/>
          <w:sz w:val="24"/>
          <w:szCs w:val="24"/>
        </w:rPr>
      </w:pPr>
      <w:r w:rsidRPr="00B536AC">
        <w:rPr>
          <w:rFonts w:ascii="Bookman Old Style" w:hAnsi="Bookman Old Style"/>
          <w:sz w:val="24"/>
          <w:szCs w:val="24"/>
        </w:rPr>
        <w:t xml:space="preserve">Provide support for pupils’ emotional and social development by encouraging and modelling positive </w:t>
      </w:r>
    </w:p>
    <w:p w:rsidR="00E6762B" w:rsidRPr="00B536AC" w:rsidRDefault="00E6762B" w:rsidP="00D14AA0">
      <w:pPr>
        <w:pStyle w:val="ListParagraph"/>
        <w:numPr>
          <w:ilvl w:val="0"/>
          <w:numId w:val="2"/>
        </w:numPr>
        <w:spacing w:after="0" w:line="240" w:lineRule="auto"/>
        <w:jc w:val="both"/>
        <w:rPr>
          <w:rFonts w:ascii="Bookman Old Style" w:hAnsi="Bookman Old Style"/>
          <w:sz w:val="24"/>
          <w:szCs w:val="24"/>
        </w:rPr>
      </w:pPr>
      <w:r w:rsidRPr="00B536AC">
        <w:rPr>
          <w:rFonts w:ascii="Bookman Old Style" w:hAnsi="Bookman Old Style"/>
          <w:sz w:val="24"/>
          <w:szCs w:val="24"/>
        </w:rPr>
        <w:t>Promote pupils’ independence skills in communication, learning and social skills</w:t>
      </w:r>
    </w:p>
    <w:p w:rsidR="00D14AA0" w:rsidRPr="00D14AA0" w:rsidRDefault="00D14AA0" w:rsidP="00D14AA0">
      <w:pPr>
        <w:spacing w:after="0" w:line="240" w:lineRule="auto"/>
        <w:jc w:val="both"/>
        <w:rPr>
          <w:rFonts w:ascii="Bookman Old Style" w:hAnsi="Bookman Old Style"/>
          <w:sz w:val="24"/>
          <w:szCs w:val="24"/>
        </w:rPr>
      </w:pP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lastRenderedPageBreak/>
        <w:t>Be able to use a range of strategies to deal with pupils’ behaviour and understand individual behavioural needs to ensure pupils’ learning needs are met.</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 xml:space="preserve">Administer routine tests and undertake routine marking as directed, maintaining records as requested in order to allow the class teacher and </w:t>
      </w:r>
      <w:r w:rsidR="00B536AC">
        <w:rPr>
          <w:rFonts w:ascii="Bookman Old Style" w:eastAsia="Times New Roman" w:hAnsi="Bookman Old Style" w:cs="Times New Roman"/>
          <w:sz w:val="24"/>
          <w:szCs w:val="20"/>
        </w:rPr>
        <w:t xml:space="preserve">SEND </w:t>
      </w:r>
      <w:r w:rsidRPr="00D14AA0">
        <w:rPr>
          <w:rFonts w:ascii="Bookman Old Style" w:eastAsia="Times New Roman" w:hAnsi="Bookman Old Style" w:cs="Times New Roman"/>
          <w:sz w:val="24"/>
          <w:szCs w:val="20"/>
        </w:rPr>
        <w:t>Manager to concentrate on other activities requiring their professional input</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Promote good pupil behaviour, dealing promptly with conflict and incidents in line with established policy.  Encourage pupils to take full responsibility for their own behaviour in order to maintain required standards of discipline and pupils’ wellbeing, health and safety.</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Be familiar with, and comply with, a full range of policies and procedures relating to child protection, health, safety, security and confidentiality, reporting all concerns to an appropriate person to ensure pupils’ wellbeing.</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Timely and accurate preparation and use of specialist equipment/resources/materials as required by staff/curriculum/lesson plans etc. whilst creating and maintaining a purposeful, productive and safe working environment to ensure pupils’ learning needs are met.</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 xml:space="preserve">Provide clerical/admin support and undertake basic recording keeping in respect of pupil learning, behaviour management, child protection etc. as directed in order to support the class teacher and </w:t>
      </w:r>
      <w:r w:rsidRPr="00D14AA0">
        <w:rPr>
          <w:rFonts w:ascii="Bookman Old Style" w:eastAsia="Times New Roman" w:hAnsi="Bookman Old Style" w:cs="Times New Roman"/>
          <w:sz w:val="24"/>
          <w:szCs w:val="20"/>
        </w:rPr>
        <w:t>SEND</w:t>
      </w:r>
      <w:r w:rsidRPr="00D14AA0">
        <w:rPr>
          <w:rFonts w:ascii="Bookman Old Style" w:eastAsia="Times New Roman" w:hAnsi="Bookman Old Style" w:cs="Times New Roman"/>
          <w:sz w:val="24"/>
          <w:szCs w:val="20"/>
        </w:rPr>
        <w:t xml:space="preserve"> Manager deliver the specific learning programme set for each child.</w:t>
      </w:r>
    </w:p>
    <w:p w:rsid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Contribute to the overall work/aims of the school and appreciate and support the role of colleagues and other professionals to enable the school to fulfil its development plans etc.</w:t>
      </w:r>
    </w:p>
    <w:p w:rsidR="00E6762B" w:rsidRPr="00D14AA0" w:rsidRDefault="00E6762B"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Attend relevant meetings </w:t>
      </w:r>
    </w:p>
    <w:p w:rsid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Undertake training and other learning activities and attend relevant meetings (within contracted hours) as required to ensure own continuing professional development.</w:t>
      </w:r>
    </w:p>
    <w:p w:rsidR="00E6762B" w:rsidRDefault="00E6762B" w:rsidP="00E6762B">
      <w:pPr>
        <w:spacing w:after="0" w:line="240" w:lineRule="auto"/>
        <w:jc w:val="both"/>
        <w:rPr>
          <w:rFonts w:ascii="Bookman Old Style" w:eastAsia="Times New Roman" w:hAnsi="Bookman Old Style" w:cs="Times New Roman"/>
          <w:sz w:val="24"/>
          <w:szCs w:val="20"/>
        </w:rPr>
      </w:pPr>
    </w:p>
    <w:p w:rsidR="00E6762B" w:rsidRDefault="00E6762B" w:rsidP="00E6762B">
      <w:p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Necessary experience</w:t>
      </w:r>
    </w:p>
    <w:p w:rsidR="00E6762B" w:rsidRPr="00E6762B" w:rsidRDefault="00E6762B" w:rsidP="00E6762B">
      <w:pPr>
        <w:spacing w:after="0" w:line="240" w:lineRule="auto"/>
        <w:jc w:val="both"/>
        <w:rPr>
          <w:rFonts w:ascii="Bookman Old Style" w:eastAsia="Times New Roman" w:hAnsi="Bookman Old Style" w:cs="Times New Roman"/>
          <w:sz w:val="24"/>
          <w:szCs w:val="20"/>
        </w:rPr>
      </w:pP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standard of general education (i.e. NVQ1 or equivalent) together with good numeracy and literacy skills (</w:t>
      </w:r>
      <w:proofErr w:type="spellStart"/>
      <w:r w:rsidRPr="00E6762B">
        <w:rPr>
          <w:rFonts w:ascii="Bookman Old Style" w:eastAsia="Times New Roman" w:hAnsi="Bookman Old Style" w:cs="Times New Roman"/>
          <w:sz w:val="24"/>
          <w:szCs w:val="24"/>
        </w:rPr>
        <w:t>i.e</w:t>
      </w:r>
      <w:proofErr w:type="spellEnd"/>
      <w:r w:rsidRPr="00E6762B">
        <w:rPr>
          <w:rFonts w:ascii="Bookman Old Style" w:eastAsia="Times New Roman" w:hAnsi="Bookman Old Style" w:cs="Times New Roman"/>
          <w:sz w:val="24"/>
          <w:szCs w:val="24"/>
        </w:rPr>
        <w:t xml:space="preserve"> NVQ2 or equivalent)</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N</w:t>
      </w:r>
      <w:r w:rsidRPr="00E6762B">
        <w:rPr>
          <w:rFonts w:ascii="Bookman Old Style" w:eastAsia="Times New Roman" w:hAnsi="Bookman Old Style" w:cs="Times New Roman"/>
          <w:sz w:val="24"/>
          <w:szCs w:val="24"/>
        </w:rPr>
        <w:t>ecessary skills to manage and supervise activities safely and be able to use a range of strategies to deal with pupil behaviour.</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Successful relevant experience of working with children (at least 2 years).</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w:t>
      </w:r>
      <w:r w:rsidRPr="00E6762B">
        <w:rPr>
          <w:rFonts w:ascii="Bookman Old Style" w:eastAsia="Times New Roman" w:hAnsi="Bookman Old Style" w:cs="Times New Roman"/>
          <w:sz w:val="24"/>
          <w:szCs w:val="24"/>
        </w:rPr>
        <w:t>ood working knowledge of relevant policies and procedures relating to child protection, health, safety, security, equal</w:t>
      </w:r>
      <w:r>
        <w:rPr>
          <w:rFonts w:ascii="Bookman Old Style" w:eastAsia="Times New Roman" w:hAnsi="Bookman Old Style" w:cs="Times New Roman"/>
          <w:sz w:val="24"/>
          <w:szCs w:val="24"/>
        </w:rPr>
        <w:t>it</w:t>
      </w:r>
      <w:r w:rsidRPr="00E6762B">
        <w:rPr>
          <w:rFonts w:ascii="Bookman Old Style" w:eastAsia="Times New Roman" w:hAnsi="Bookman Old Style" w:cs="Times New Roman"/>
          <w:sz w:val="24"/>
          <w:szCs w:val="24"/>
        </w:rPr>
        <w:t>ies and confidentiality.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Ability to use specialist equipment/materials and be able to demonstrate and assist others in their use.</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Ability</w:t>
      </w:r>
      <w:r w:rsidRPr="00E6762B">
        <w:rPr>
          <w:rFonts w:ascii="Bookman Old Style" w:eastAsia="Times New Roman" w:hAnsi="Bookman Old Style" w:cs="Times New Roman"/>
          <w:sz w:val="24"/>
          <w:szCs w:val="24"/>
        </w:rPr>
        <w:t xml:space="preserve"> to devise and implement structured learning activities</w:t>
      </w:r>
      <w:r>
        <w:rPr>
          <w:rFonts w:ascii="Bookman Old Style" w:eastAsia="Times New Roman" w:hAnsi="Bookman Old Style" w:cs="Times New Roman"/>
          <w:sz w:val="24"/>
          <w:szCs w:val="24"/>
        </w:rPr>
        <w:t xml:space="preserve"> </w:t>
      </w:r>
      <w:r w:rsidRPr="00E6762B">
        <w:rPr>
          <w:rFonts w:ascii="Bookman Old Style" w:eastAsia="Times New Roman" w:hAnsi="Bookman Old Style" w:cs="Times New Roman"/>
          <w:sz w:val="24"/>
          <w:szCs w:val="24"/>
        </w:rPr>
        <w:t>and to evaluate their effectiveness and measure pupils’ progress, giving feedback as required.</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Ability to relate well to children and adults, understanding their needs and being able to respond accordingly.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influencing skills to encourage pupils to interact with others and be socially responsible.</w:t>
      </w:r>
    </w:p>
    <w:p w:rsidR="00E6762B" w:rsidRPr="00E6762B" w:rsidRDefault="00E6762B" w:rsidP="00E6762B">
      <w:pPr>
        <w:spacing w:after="0" w:line="240" w:lineRule="auto"/>
        <w:jc w:val="both"/>
        <w:rPr>
          <w:rFonts w:ascii="Bookman Old Style" w:eastAsia="Times New Roman" w:hAnsi="Bookman Old Style" w:cs="Times New Roman"/>
          <w:sz w:val="24"/>
          <w:szCs w:val="24"/>
        </w:rPr>
      </w:pPr>
    </w:p>
    <w:p w:rsidR="00D14AA0" w:rsidRDefault="00D14AA0"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Pr="00D14AA0" w:rsidRDefault="00B536AC" w:rsidP="00D14AA0">
      <w:pPr>
        <w:spacing w:after="0" w:line="240" w:lineRule="auto"/>
        <w:jc w:val="both"/>
        <w:rPr>
          <w:rFonts w:ascii="Bookman Old Style" w:eastAsia="Times New Roman" w:hAnsi="Bookman Old Style" w:cs="Times New Roman"/>
          <w:sz w:val="24"/>
          <w:szCs w:val="20"/>
        </w:rPr>
      </w:pPr>
    </w:p>
    <w:p w:rsidR="00D14AA0" w:rsidRPr="00D14AA0" w:rsidRDefault="00D14AA0" w:rsidP="00D14AA0">
      <w:pPr>
        <w:jc w:val="both"/>
        <w:rPr>
          <w:rFonts w:ascii="Bookman Old Style" w:hAnsi="Bookman Old Style"/>
          <w:sz w:val="24"/>
          <w:szCs w:val="24"/>
        </w:rPr>
      </w:pPr>
    </w:p>
    <w:p w:rsidR="00E6762B" w:rsidRDefault="00E6762B" w:rsidP="00E6762B">
      <w:pPr>
        <w:jc w:val="center"/>
        <w:rPr>
          <w:rFonts w:ascii="Bookman Old Style" w:hAnsi="Bookman Old Style"/>
          <w:sz w:val="24"/>
          <w:szCs w:val="24"/>
          <w:u w:val="single"/>
        </w:rPr>
      </w:pPr>
      <w:proofErr w:type="spellStart"/>
      <w:r>
        <w:rPr>
          <w:rFonts w:ascii="Bookman Old Style" w:hAnsi="Bookman Old Style"/>
          <w:sz w:val="24"/>
          <w:szCs w:val="24"/>
          <w:u w:val="single"/>
        </w:rPr>
        <w:t>Leybourne</w:t>
      </w:r>
      <w:proofErr w:type="spellEnd"/>
      <w:r>
        <w:rPr>
          <w:rFonts w:ascii="Bookman Old Style" w:hAnsi="Bookman Old Style"/>
          <w:sz w:val="24"/>
          <w:szCs w:val="24"/>
          <w:u w:val="single"/>
        </w:rPr>
        <w:t xml:space="preserve"> SS Peter and Paul CEP Academy</w:t>
      </w:r>
    </w:p>
    <w:p w:rsidR="00E6762B" w:rsidRDefault="00E6762B" w:rsidP="00DE7ED5">
      <w:pPr>
        <w:jc w:val="center"/>
        <w:rPr>
          <w:rFonts w:ascii="Bookman Old Style" w:hAnsi="Bookman Old Style"/>
          <w:sz w:val="24"/>
          <w:szCs w:val="24"/>
          <w:u w:val="single"/>
        </w:rPr>
      </w:pPr>
      <w:r>
        <w:rPr>
          <w:rFonts w:ascii="Bookman Old Style" w:hAnsi="Bookman Old Style"/>
          <w:sz w:val="24"/>
          <w:szCs w:val="24"/>
          <w:u w:val="single"/>
        </w:rPr>
        <w:t xml:space="preserve">SEND Teaching Assistant – </w:t>
      </w:r>
      <w:r>
        <w:rPr>
          <w:rFonts w:ascii="Bookman Old Style" w:hAnsi="Bookman Old Style"/>
          <w:sz w:val="24"/>
          <w:szCs w:val="24"/>
          <w:u w:val="single"/>
        </w:rPr>
        <w:t>Person Specificat</w:t>
      </w:r>
      <w:r>
        <w:rPr>
          <w:rFonts w:ascii="Bookman Old Style" w:hAnsi="Bookman Old Style"/>
          <w:sz w:val="24"/>
          <w:szCs w:val="24"/>
          <w:u w:val="single"/>
        </w:rPr>
        <w:t>ion</w:t>
      </w:r>
    </w:p>
    <w:p w:rsidR="00E6007D" w:rsidRDefault="00E6007D" w:rsidP="00DE7ED5">
      <w:pPr>
        <w:jc w:val="center"/>
        <w:rPr>
          <w:rFonts w:ascii="Bookman Old Style" w:hAnsi="Bookman Old Style"/>
          <w:sz w:val="24"/>
          <w:szCs w:val="24"/>
          <w:u w:val="single"/>
        </w:rPr>
      </w:pPr>
    </w:p>
    <w:tbl>
      <w:tblPr>
        <w:tblStyle w:val="TableGrid"/>
        <w:tblW w:w="0" w:type="auto"/>
        <w:tblLook w:val="04A0" w:firstRow="1" w:lastRow="0" w:firstColumn="1" w:lastColumn="0" w:noHBand="0" w:noVBand="1"/>
      </w:tblPr>
      <w:tblGrid>
        <w:gridCol w:w="7792"/>
        <w:gridCol w:w="1344"/>
        <w:gridCol w:w="1320"/>
      </w:tblGrid>
      <w:tr w:rsidR="00E6762B" w:rsidTr="00DE7ED5">
        <w:tc>
          <w:tcPr>
            <w:tcW w:w="7792" w:type="dxa"/>
          </w:tcPr>
          <w:p w:rsidR="00E6762B" w:rsidRDefault="00E6762B" w:rsidP="00E6762B">
            <w:pPr>
              <w:jc w:val="center"/>
              <w:rPr>
                <w:rFonts w:ascii="Bookman Old Style" w:hAnsi="Bookman Old Style"/>
                <w:sz w:val="24"/>
                <w:szCs w:val="24"/>
                <w:u w:val="single"/>
              </w:rPr>
            </w:pPr>
          </w:p>
        </w:tc>
        <w:tc>
          <w:tcPr>
            <w:tcW w:w="1344"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E</w:t>
            </w:r>
            <w:r w:rsidRPr="00E6762B">
              <w:rPr>
                <w:rFonts w:ascii="Bookman Old Style" w:hAnsi="Bookman Old Style"/>
                <w:sz w:val="24"/>
                <w:szCs w:val="24"/>
              </w:rPr>
              <w:t>ssential</w:t>
            </w:r>
          </w:p>
        </w:tc>
        <w:tc>
          <w:tcPr>
            <w:tcW w:w="1320"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Desirable</w:t>
            </w:r>
          </w:p>
        </w:tc>
      </w:tr>
      <w:tr w:rsidR="00E6762B" w:rsidTr="00DE7ED5">
        <w:tc>
          <w:tcPr>
            <w:tcW w:w="7792" w:type="dxa"/>
            <w:shd w:val="clear" w:color="auto" w:fill="D0CECE" w:themeFill="background2" w:themeFillShade="E6"/>
          </w:tcPr>
          <w:p w:rsidR="00E6762B" w:rsidRPr="00E6762B" w:rsidRDefault="00E6762B" w:rsidP="00E6762B">
            <w:pPr>
              <w:rPr>
                <w:rFonts w:ascii="Bookman Old Style" w:hAnsi="Bookman Old Style"/>
                <w:sz w:val="24"/>
                <w:szCs w:val="24"/>
              </w:rPr>
            </w:pPr>
            <w:r w:rsidRPr="00E6762B">
              <w:rPr>
                <w:rFonts w:ascii="Bookman Old Style" w:hAnsi="Bookman Old Style"/>
                <w:sz w:val="24"/>
                <w:szCs w:val="24"/>
              </w:rPr>
              <w:t>Qualifications</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GCSE Grade C or above in Maths and English (or equivalent)</w:t>
            </w:r>
          </w:p>
        </w:tc>
        <w:tc>
          <w:tcPr>
            <w:tcW w:w="1344"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Educated to degree level or equivalent</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Pr="00E6762B" w:rsidRDefault="00E6007D" w:rsidP="00430F9E">
            <w:pPr>
              <w:jc w:val="center"/>
              <w:rPr>
                <w:rFonts w:ascii="Bookman Old Style" w:hAnsi="Bookman Old Style"/>
                <w:sz w:val="24"/>
                <w:szCs w:val="24"/>
              </w:rPr>
            </w:pPr>
          </w:p>
        </w:tc>
        <w:tc>
          <w:tcPr>
            <w:tcW w:w="1320" w:type="dxa"/>
          </w:tcPr>
          <w:p w:rsidR="00E6007D" w:rsidRDefault="00E6007D" w:rsidP="00430F9E">
            <w:pPr>
              <w:jc w:val="center"/>
              <w:rPr>
                <w:rFonts w:ascii="Bookman Old Style" w:hAnsi="Bookman Old Style"/>
                <w:sz w:val="24"/>
                <w:szCs w:val="24"/>
              </w:rPr>
            </w:pPr>
          </w:p>
        </w:tc>
      </w:tr>
      <w:tr w:rsidR="00E6762B" w:rsidTr="00DE7ED5">
        <w:tc>
          <w:tcPr>
            <w:tcW w:w="7792" w:type="dxa"/>
            <w:shd w:val="clear" w:color="auto" w:fill="D0CECE" w:themeFill="background2" w:themeFillShade="E6"/>
          </w:tcPr>
          <w:p w:rsidR="00E6762B" w:rsidRPr="00E6762B" w:rsidRDefault="00430F9E" w:rsidP="00E6762B">
            <w:pPr>
              <w:rPr>
                <w:rFonts w:ascii="Bookman Old Style" w:hAnsi="Bookman Old Style"/>
                <w:sz w:val="24"/>
                <w:szCs w:val="24"/>
              </w:rPr>
            </w:pPr>
            <w:r>
              <w:rPr>
                <w:rFonts w:ascii="Bookman Old Style" w:hAnsi="Bookman Old Style"/>
                <w:sz w:val="24"/>
                <w:szCs w:val="24"/>
              </w:rPr>
              <w:t>Experience</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430F9E" w:rsidP="00E6762B">
            <w:pPr>
              <w:rPr>
                <w:rFonts w:ascii="Bookman Old Style" w:hAnsi="Bookman Old Style"/>
                <w:sz w:val="24"/>
                <w:szCs w:val="24"/>
              </w:rPr>
            </w:pPr>
            <w:r>
              <w:rPr>
                <w:rFonts w:ascii="Bookman Old Style" w:hAnsi="Bookman Old Style"/>
                <w:sz w:val="24"/>
                <w:szCs w:val="24"/>
              </w:rPr>
              <w:t>Use of Microsoft Office Suite</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010AD6" w:rsidP="00E6762B">
            <w:pPr>
              <w:rPr>
                <w:rFonts w:ascii="Bookman Old Style" w:hAnsi="Bookman Old Style"/>
                <w:sz w:val="24"/>
                <w:szCs w:val="24"/>
              </w:rPr>
            </w:pPr>
            <w:r>
              <w:rPr>
                <w:rFonts w:ascii="Bookman Old Style" w:hAnsi="Bookman Old Style"/>
                <w:sz w:val="24"/>
                <w:szCs w:val="24"/>
              </w:rPr>
              <w:t>Recent and relevant work</w:t>
            </w:r>
            <w:r w:rsidR="00430F9E">
              <w:rPr>
                <w:rFonts w:ascii="Bookman Old Style" w:hAnsi="Bookman Old Style"/>
                <w:sz w:val="24"/>
                <w:szCs w:val="24"/>
              </w:rPr>
              <w:t xml:space="preserve"> with young children and their families in an educational setting</w:t>
            </w:r>
            <w:r>
              <w:rPr>
                <w:rFonts w:ascii="Bookman Old Style" w:hAnsi="Bookman Old Style"/>
                <w:sz w:val="24"/>
                <w:szCs w:val="24"/>
              </w:rPr>
              <w:t xml:space="preserve"> (preferably in Key Stages 1 and 2)</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430F9E" w:rsidP="00E6762B">
            <w:pPr>
              <w:rPr>
                <w:rFonts w:ascii="Bookman Old Style" w:hAnsi="Bookman Old Style"/>
                <w:sz w:val="24"/>
                <w:szCs w:val="24"/>
              </w:rPr>
            </w:pPr>
            <w:r>
              <w:rPr>
                <w:rFonts w:ascii="Bookman Old Style" w:hAnsi="Bookman Old Style"/>
                <w:sz w:val="24"/>
                <w:szCs w:val="24"/>
              </w:rPr>
              <w:t xml:space="preserve">Developing and </w:t>
            </w:r>
            <w:r w:rsidR="00B41232">
              <w:rPr>
                <w:rFonts w:ascii="Bookman Old Style" w:hAnsi="Bookman Old Style"/>
                <w:sz w:val="24"/>
                <w:szCs w:val="24"/>
              </w:rPr>
              <w:t>d</w:t>
            </w:r>
            <w:r>
              <w:rPr>
                <w:rFonts w:ascii="Bookman Old Style" w:hAnsi="Bookman Old Style"/>
                <w:sz w:val="24"/>
                <w:szCs w:val="24"/>
              </w:rPr>
              <w:t>e</w:t>
            </w:r>
            <w:r w:rsidR="00B41232">
              <w:rPr>
                <w:rFonts w:ascii="Bookman Old Style" w:hAnsi="Bookman Old Style"/>
                <w:sz w:val="24"/>
                <w:szCs w:val="24"/>
              </w:rPr>
              <w:t>li</w:t>
            </w:r>
            <w:r>
              <w:rPr>
                <w:rFonts w:ascii="Bookman Old Style" w:hAnsi="Bookman Old Style"/>
                <w:sz w:val="24"/>
                <w:szCs w:val="24"/>
              </w:rPr>
              <w:t xml:space="preserve">vering individual education programmes </w:t>
            </w:r>
            <w:r w:rsidR="00B41232">
              <w:rPr>
                <w:rFonts w:ascii="Bookman Old Style" w:hAnsi="Bookman Old Style"/>
                <w:sz w:val="24"/>
                <w:szCs w:val="24"/>
              </w:rPr>
              <w:t>for</w:t>
            </w:r>
            <w:r>
              <w:rPr>
                <w:rFonts w:ascii="Bookman Old Style" w:hAnsi="Bookman Old Style"/>
                <w:sz w:val="24"/>
                <w:szCs w:val="24"/>
              </w:rPr>
              <w:t xml:space="preserve"> </w:t>
            </w:r>
            <w:r w:rsidR="00B41232">
              <w:rPr>
                <w:rFonts w:ascii="Bookman Old Style" w:hAnsi="Bookman Old Style"/>
                <w:sz w:val="24"/>
                <w:szCs w:val="24"/>
              </w:rPr>
              <w:t>children</w:t>
            </w:r>
            <w:r>
              <w:rPr>
                <w:rFonts w:ascii="Bookman Old Style" w:hAnsi="Bookman Old Style"/>
                <w:sz w:val="24"/>
                <w:szCs w:val="24"/>
              </w:rPr>
              <w:t xml:space="preserve"> with </w:t>
            </w:r>
            <w:r w:rsidR="00B41232">
              <w:rPr>
                <w:rFonts w:ascii="Bookman Old Style" w:hAnsi="Bookman Old Style"/>
                <w:sz w:val="24"/>
                <w:szCs w:val="24"/>
              </w:rPr>
              <w:t>specific needs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Management and improvement of progress of pupils with SEND by implementing individual support programmes</w:t>
            </w:r>
            <w:r w:rsidR="00E6007D">
              <w:rPr>
                <w:rFonts w:ascii="Bookman Old Style" w:hAnsi="Bookman Old Style"/>
                <w:sz w:val="24"/>
                <w:szCs w:val="24"/>
              </w:rPr>
              <w:t xml:space="preserve"> and personalised plans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Measuring and tracking the progress of pupils with SEND</w:t>
            </w:r>
            <w:r w:rsidR="00E6007D">
              <w:rPr>
                <w:rFonts w:ascii="Bookman Old Style" w:hAnsi="Bookman Old Style"/>
                <w:sz w:val="24"/>
                <w:szCs w:val="24"/>
              </w:rPr>
              <w:t xml:space="preserve"> (B-Squared, Pre-Key Stage Standards)</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Liaising with external agencies in order to provide individualised support packages for pupils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Developing banks of resources for pupils and teachers, to be used in school and at home</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Contributing to the Assess – Plan - Do -</w:t>
            </w:r>
            <w:r w:rsidR="00B536AC">
              <w:rPr>
                <w:rFonts w:ascii="Bookman Old Style" w:hAnsi="Bookman Old Style"/>
                <w:sz w:val="24"/>
                <w:szCs w:val="24"/>
              </w:rPr>
              <w:t xml:space="preserve"> </w:t>
            </w:r>
            <w:r>
              <w:rPr>
                <w:rFonts w:ascii="Bookman Old Style" w:hAnsi="Bookman Old Style"/>
                <w:sz w:val="24"/>
                <w:szCs w:val="24"/>
              </w:rPr>
              <w:t>Review cycle</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Understanding of the SEND Code of Practice 2014</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 xml:space="preserve">Use of email / internet </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Default="00E6007D" w:rsidP="00430F9E">
            <w:pPr>
              <w:jc w:val="center"/>
              <w:rPr>
                <w:rFonts w:ascii="Bookman Old Style" w:hAnsi="Bookman Old Style"/>
                <w:sz w:val="24"/>
                <w:szCs w:val="24"/>
              </w:rPr>
            </w:pPr>
          </w:p>
        </w:tc>
        <w:tc>
          <w:tcPr>
            <w:tcW w:w="1320" w:type="dxa"/>
          </w:tcPr>
          <w:p w:rsidR="00E6007D" w:rsidRPr="00E6762B" w:rsidRDefault="00E6007D" w:rsidP="00430F9E">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Personal</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organised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presented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Excellent oral and written communication skills at all levels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under pressure whilst maintaining a positive, professional attitude</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as part of a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organise and prioritise workload and work on own initiative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take accurate messages and notes and follow up where necessary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communicate effectively with staff, pupils, parents and agencies and maintain good working relationships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Flexible and willing to contribute to the success of the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Relationships </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develop good relationships with staff, pupils and parents, and the wider school community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IT skills</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word process and type proficiently</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lastRenderedPageBreak/>
              <w:t>Specific SEND experience</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r>
              <w:rPr>
                <w:rFonts w:ascii="Bookman Old Style" w:hAnsi="Bookman Old Style"/>
                <w:sz w:val="24"/>
                <w:szCs w:val="24"/>
              </w:rPr>
              <w:t>A good understanding and experience of using multi-sensory approaches to support children’s learning</w:t>
            </w:r>
          </w:p>
        </w:tc>
        <w:tc>
          <w:tcPr>
            <w:tcW w:w="1344" w:type="dxa"/>
          </w:tcPr>
          <w:p w:rsidR="00E6007D" w:rsidRDefault="00E6007D"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007D" w:rsidRDefault="00E6007D"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r>
              <w:rPr>
                <w:rFonts w:ascii="Bookman Old Style" w:hAnsi="Bookman Old Style"/>
                <w:sz w:val="24"/>
                <w:szCs w:val="24"/>
              </w:rPr>
              <w:t>Experience of implementing a wide variety of language, literacy and mathematical interventions and collecting entry and exit data to support the measurement of progress</w:t>
            </w:r>
          </w:p>
        </w:tc>
        <w:tc>
          <w:tcPr>
            <w:tcW w:w="1344" w:type="dxa"/>
          </w:tcPr>
          <w:p w:rsidR="00E6007D" w:rsidRPr="00E6762B" w:rsidRDefault="00E6007D"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007D" w:rsidRDefault="00E6007D"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Language for Thinking, Language for Learning, Language Link, Narrative</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 range of reading schemes – including Dandelion, ORT, Phonics Bug</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Phonological Awareness interventions: Sound Progress</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Spelling interventions</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Comprehension skills</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Maths interventions: Dynamo, Making Numbers Matter</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bl>
    <w:p w:rsidR="00D14AA0" w:rsidRDefault="00D14A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4C6FA0">
      <w:pPr>
        <w:jc w:val="center"/>
        <w:rPr>
          <w:rFonts w:ascii="Bookman Old Style" w:hAnsi="Bookman Old Style"/>
          <w:sz w:val="24"/>
          <w:szCs w:val="24"/>
          <w:u w:val="single"/>
        </w:rPr>
      </w:pPr>
      <w:bookmarkStart w:id="0" w:name="_GoBack"/>
      <w:proofErr w:type="spellStart"/>
      <w:r>
        <w:rPr>
          <w:rFonts w:ascii="Bookman Old Style" w:hAnsi="Bookman Old Style"/>
          <w:sz w:val="24"/>
          <w:szCs w:val="24"/>
          <w:u w:val="single"/>
        </w:rPr>
        <w:t>Leybourne</w:t>
      </w:r>
      <w:proofErr w:type="spellEnd"/>
      <w:r>
        <w:rPr>
          <w:rFonts w:ascii="Bookman Old Style" w:hAnsi="Bookman Old Style"/>
          <w:sz w:val="24"/>
          <w:szCs w:val="24"/>
          <w:u w:val="single"/>
        </w:rPr>
        <w:t xml:space="preserve"> SS Peter and Paul CEP Academy</w:t>
      </w:r>
    </w:p>
    <w:p w:rsidR="004C6FA0" w:rsidRDefault="004C6FA0" w:rsidP="004C6FA0">
      <w:pPr>
        <w:jc w:val="center"/>
        <w:rPr>
          <w:rFonts w:ascii="Bookman Old Style" w:hAnsi="Bookman Old Style"/>
          <w:sz w:val="24"/>
          <w:szCs w:val="24"/>
          <w:u w:val="single"/>
        </w:rPr>
      </w:pPr>
      <w:r>
        <w:rPr>
          <w:rFonts w:ascii="Bookman Old Style" w:hAnsi="Bookman Old Style"/>
          <w:sz w:val="24"/>
          <w:szCs w:val="24"/>
          <w:u w:val="single"/>
        </w:rPr>
        <w:t xml:space="preserve">SEND Teaching Assistant – </w:t>
      </w:r>
      <w:r>
        <w:rPr>
          <w:rFonts w:ascii="Bookman Old Style" w:hAnsi="Bookman Old Style"/>
          <w:sz w:val="24"/>
          <w:szCs w:val="24"/>
          <w:u w:val="single"/>
        </w:rPr>
        <w:t>Advert</w:t>
      </w:r>
    </w:p>
    <w:p w:rsidR="004C6FA0" w:rsidRDefault="004C6FA0" w:rsidP="004C6FA0">
      <w:pPr>
        <w:jc w:val="center"/>
        <w:rPr>
          <w:rFonts w:ascii="Bookman Old Style" w:hAnsi="Bookman Old Style"/>
          <w:sz w:val="24"/>
          <w:szCs w:val="24"/>
          <w:u w:val="single"/>
        </w:rPr>
      </w:pPr>
    </w:p>
    <w:p w:rsidR="004C6FA0" w:rsidRDefault="004C6FA0" w:rsidP="004C6FA0">
      <w:pPr>
        <w:jc w:val="both"/>
        <w:rPr>
          <w:rFonts w:ascii="Bookman Old Style" w:hAnsi="Bookman Old Style"/>
          <w:sz w:val="24"/>
          <w:szCs w:val="24"/>
        </w:rPr>
      </w:pPr>
      <w:r>
        <w:rPr>
          <w:rFonts w:ascii="Bookman Old Style" w:hAnsi="Bookman Old Style"/>
          <w:sz w:val="24"/>
          <w:szCs w:val="24"/>
        </w:rPr>
        <w:t>We have an exciting opportunity for an outstanding and dedicated SEND Teaching Assistant to join our happy and successful team. We are looking to appoint an experienced and committed TA to support some of our most vulnerable pupils</w:t>
      </w:r>
      <w:r w:rsidR="00010AD6">
        <w:rPr>
          <w:rFonts w:ascii="Bookman Old Style" w:hAnsi="Bookman Old Style"/>
          <w:sz w:val="24"/>
          <w:szCs w:val="24"/>
        </w:rPr>
        <w:t>,</w:t>
      </w:r>
      <w:r>
        <w:rPr>
          <w:rFonts w:ascii="Bookman Old Style" w:hAnsi="Bookman Old Style"/>
          <w:sz w:val="24"/>
          <w:szCs w:val="24"/>
        </w:rPr>
        <w:t xml:space="preserve"> </w:t>
      </w:r>
      <w:r w:rsidR="00010AD6">
        <w:rPr>
          <w:rFonts w:ascii="Bookman Old Style" w:hAnsi="Bookman Old Style"/>
          <w:sz w:val="24"/>
          <w:szCs w:val="24"/>
        </w:rPr>
        <w:t xml:space="preserve">enabling them to experience success and develop a real love of learning and sense of achievement. </w:t>
      </w:r>
    </w:p>
    <w:p w:rsidR="00010AD6" w:rsidRDefault="00010AD6" w:rsidP="004C6FA0">
      <w:pPr>
        <w:jc w:val="both"/>
        <w:rPr>
          <w:rFonts w:ascii="Bookman Old Style" w:hAnsi="Bookman Old Style"/>
          <w:sz w:val="24"/>
          <w:szCs w:val="24"/>
        </w:rPr>
      </w:pPr>
    </w:p>
    <w:p w:rsidR="00010AD6" w:rsidRDefault="00010AD6" w:rsidP="004C6FA0">
      <w:pPr>
        <w:jc w:val="both"/>
        <w:rPr>
          <w:rFonts w:ascii="Bookman Old Style" w:hAnsi="Bookman Old Style"/>
          <w:sz w:val="24"/>
          <w:szCs w:val="24"/>
        </w:rPr>
      </w:pPr>
      <w:r>
        <w:rPr>
          <w:rFonts w:ascii="Bookman Old Style" w:hAnsi="Bookman Old Style"/>
          <w:sz w:val="24"/>
          <w:szCs w:val="24"/>
        </w:rPr>
        <w:t xml:space="preserve">The successful applicant will be expected to plan, resource and deliver exceptional learning opportunities for pupils with a range of specific language, numeracy and communication difficulties. We are looking for a creative and flexible individual, who is passionate about working with children and committed to supporting them to achieve their full potential. Experience of adapting and differentiating learning experiences to meet the needs of learners, and an excellent understanding of phonological and language development would be an advantage, along with an understanding of a range of educational needs, including </w:t>
      </w:r>
      <w:r w:rsidR="00081529">
        <w:rPr>
          <w:rFonts w:ascii="Bookman Old Style" w:hAnsi="Bookman Old Style"/>
          <w:sz w:val="24"/>
          <w:szCs w:val="24"/>
        </w:rPr>
        <w:t>ASC and dyslexia.</w:t>
      </w:r>
      <w:r>
        <w:rPr>
          <w:rFonts w:ascii="Bookman Old Style" w:hAnsi="Bookman Old Style"/>
          <w:sz w:val="24"/>
          <w:szCs w:val="24"/>
        </w:rPr>
        <w:t xml:space="preserve"> </w:t>
      </w:r>
    </w:p>
    <w:p w:rsidR="00010AD6" w:rsidRDefault="00010AD6" w:rsidP="004C6FA0">
      <w:pPr>
        <w:jc w:val="both"/>
        <w:rPr>
          <w:rFonts w:ascii="Bookman Old Style" w:hAnsi="Bookman Old Style"/>
          <w:sz w:val="24"/>
          <w:szCs w:val="24"/>
        </w:rPr>
      </w:pPr>
    </w:p>
    <w:p w:rsidR="004C6FA0" w:rsidRDefault="00010AD6" w:rsidP="00D14AA0">
      <w:pPr>
        <w:jc w:val="both"/>
        <w:rPr>
          <w:rFonts w:ascii="Bookman Old Style" w:hAnsi="Bookman Old Style"/>
          <w:sz w:val="24"/>
          <w:szCs w:val="24"/>
        </w:rPr>
      </w:pPr>
      <w:r>
        <w:rPr>
          <w:rFonts w:ascii="Bookman Old Style" w:hAnsi="Bookman Old Style"/>
          <w:sz w:val="24"/>
          <w:szCs w:val="24"/>
        </w:rPr>
        <w:t xml:space="preserve">This is a permanent position, on </w:t>
      </w:r>
      <w:proofErr w:type="spellStart"/>
      <w:r>
        <w:rPr>
          <w:rFonts w:ascii="Bookman Old Style" w:hAnsi="Bookman Old Style"/>
          <w:sz w:val="24"/>
          <w:szCs w:val="24"/>
        </w:rPr>
        <w:t>Tenax</w:t>
      </w:r>
      <w:proofErr w:type="spellEnd"/>
      <w:r>
        <w:rPr>
          <w:rFonts w:ascii="Bookman Old Style" w:hAnsi="Bookman Old Style"/>
          <w:sz w:val="24"/>
          <w:szCs w:val="24"/>
        </w:rPr>
        <w:t xml:space="preserve"> Range 5, for 30 hours per week, term time only.</w:t>
      </w:r>
    </w:p>
    <w:bookmarkEnd w:id="0"/>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Pr="00D14AA0" w:rsidRDefault="004C6FA0" w:rsidP="00D14AA0">
      <w:pPr>
        <w:jc w:val="both"/>
        <w:rPr>
          <w:rFonts w:ascii="Bookman Old Style" w:hAnsi="Bookman Old Style"/>
          <w:sz w:val="24"/>
          <w:szCs w:val="24"/>
        </w:rPr>
      </w:pPr>
    </w:p>
    <w:sectPr w:rsidR="004C6FA0" w:rsidRPr="00D14AA0" w:rsidSect="00D14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142F3"/>
    <w:multiLevelType w:val="hybridMultilevel"/>
    <w:tmpl w:val="2CC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40F8B"/>
    <w:multiLevelType w:val="singleLevel"/>
    <w:tmpl w:val="CC624DAC"/>
    <w:lvl w:ilvl="0">
      <w:start w:val="1"/>
      <w:numFmt w:val="bullet"/>
      <w:lvlText w:val=""/>
      <w:lvlJc w:val="left"/>
      <w:pPr>
        <w:tabs>
          <w:tab w:val="num" w:pos="2296"/>
        </w:tabs>
        <w:ind w:left="2296" w:hanging="737"/>
      </w:pPr>
      <w:rPr>
        <w:rFonts w:ascii="Symbol" w:hAnsi="Symbol" w:hint="default"/>
      </w:rPr>
    </w:lvl>
  </w:abstractNum>
  <w:abstractNum w:abstractNumId="2" w15:restartNumberingAfterBreak="0">
    <w:nsid w:val="49686D13"/>
    <w:multiLevelType w:val="hybridMultilevel"/>
    <w:tmpl w:val="03D6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8677C"/>
    <w:multiLevelType w:val="hybridMultilevel"/>
    <w:tmpl w:val="CA64E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A0"/>
    <w:rsid w:val="00010AD6"/>
    <w:rsid w:val="00081529"/>
    <w:rsid w:val="00151607"/>
    <w:rsid w:val="002147A7"/>
    <w:rsid w:val="00430F9E"/>
    <w:rsid w:val="004C6FA0"/>
    <w:rsid w:val="004F4AD6"/>
    <w:rsid w:val="00B41232"/>
    <w:rsid w:val="00B536AC"/>
    <w:rsid w:val="00BD5DC3"/>
    <w:rsid w:val="00D14AA0"/>
    <w:rsid w:val="00DE7ED5"/>
    <w:rsid w:val="00E6007D"/>
    <w:rsid w:val="00E6762B"/>
    <w:rsid w:val="00F0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E545"/>
  <w15:chartTrackingRefBased/>
  <w15:docId w15:val="{40288EB7-0A13-47F0-B7A6-02087779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A0"/>
    <w:pPr>
      <w:spacing w:after="200" w:line="276" w:lineRule="auto"/>
      <w:ind w:left="720"/>
      <w:contextualSpacing/>
    </w:pPr>
  </w:style>
  <w:style w:type="table" w:styleId="TableGrid">
    <w:name w:val="Table Grid"/>
    <w:basedOn w:val="TableNormal"/>
    <w:uiPriority w:val="39"/>
    <w:rsid w:val="00E6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HolditchT</dc:creator>
  <cp:keywords/>
  <dc:description/>
  <cp:lastModifiedBy>HolditchT</cp:lastModifiedBy>
  <cp:revision>3</cp:revision>
  <cp:lastPrinted>2021-05-07T12:15:00Z</cp:lastPrinted>
  <dcterms:created xsi:type="dcterms:W3CDTF">2021-05-07T12:15:00Z</dcterms:created>
  <dcterms:modified xsi:type="dcterms:W3CDTF">2021-05-07T12:54:00Z</dcterms:modified>
</cp:coreProperties>
</file>