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2977"/>
      </w:tblGrid>
      <w:tr w:rsidR="009854B3" w:rsidTr="00A27799">
        <w:tc>
          <w:tcPr>
            <w:tcW w:w="1413" w:type="dxa"/>
          </w:tcPr>
          <w:p w:rsidR="00E06F43" w:rsidRDefault="009854B3" w:rsidP="009854B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3175</wp:posOffset>
                  </wp:positionV>
                  <wp:extent cx="485775" cy="54244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08" cy="5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E06F43" w:rsidRPr="009854B3" w:rsidRDefault="00E06F43" w:rsidP="009854B3">
            <w:pPr>
              <w:jc w:val="center"/>
              <w:rPr>
                <w:b/>
                <w:sz w:val="40"/>
                <w:szCs w:val="40"/>
              </w:rPr>
            </w:pPr>
            <w:r w:rsidRPr="009854B3">
              <w:rPr>
                <w:b/>
                <w:sz w:val="40"/>
                <w:szCs w:val="40"/>
              </w:rPr>
              <w:t>JOB DESCRIPTION</w:t>
            </w:r>
          </w:p>
          <w:p w:rsidR="00E06F43" w:rsidRPr="003E4E8B" w:rsidRDefault="001122DD" w:rsidP="009854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Assistant Headteacher</w:t>
            </w:r>
            <w:r w:rsidR="002D58B5">
              <w:rPr>
                <w:b/>
                <w:sz w:val="32"/>
                <w:szCs w:val="32"/>
              </w:rPr>
              <w:t xml:space="preserve"> with responsibility for Inclusion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06F43" w:rsidRDefault="009854B3" w:rsidP="009854B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3176</wp:posOffset>
                  </wp:positionV>
                  <wp:extent cx="485633" cy="542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05" cy="54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18D2" w:rsidRDefault="007D1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E06F43" w:rsidRPr="00A27799" w:rsidTr="00A27799">
        <w:tc>
          <w:tcPr>
            <w:tcW w:w="2122" w:type="dxa"/>
          </w:tcPr>
          <w:p w:rsidR="00E06F43" w:rsidRPr="00A27799" w:rsidRDefault="009854B3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Grade</w:t>
            </w:r>
          </w:p>
        </w:tc>
        <w:tc>
          <w:tcPr>
            <w:tcW w:w="8363" w:type="dxa"/>
          </w:tcPr>
          <w:p w:rsidR="00E06F43" w:rsidRPr="00A27799" w:rsidRDefault="00306309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1 - 5</w:t>
            </w:r>
          </w:p>
        </w:tc>
      </w:tr>
      <w:tr w:rsidR="00E06F43" w:rsidRPr="00A27799" w:rsidTr="00A27799">
        <w:tc>
          <w:tcPr>
            <w:tcW w:w="2122" w:type="dxa"/>
          </w:tcPr>
          <w:p w:rsidR="00E06F43" w:rsidRPr="00A27799" w:rsidRDefault="009854B3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Responsible to</w:t>
            </w:r>
          </w:p>
        </w:tc>
        <w:tc>
          <w:tcPr>
            <w:tcW w:w="8363" w:type="dxa"/>
          </w:tcPr>
          <w:p w:rsidR="00E06F43" w:rsidRPr="00A27799" w:rsidRDefault="009854B3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Headteacher</w:t>
            </w:r>
            <w:r w:rsidR="001122DD">
              <w:rPr>
                <w:rFonts w:cstheme="minorHAnsi"/>
              </w:rPr>
              <w:t>/Deputy Headteacher</w:t>
            </w:r>
          </w:p>
        </w:tc>
      </w:tr>
    </w:tbl>
    <w:p w:rsidR="00E06F43" w:rsidRPr="00A27799" w:rsidRDefault="00E06F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854B3" w:rsidRPr="00A27799" w:rsidTr="00A27799">
        <w:tc>
          <w:tcPr>
            <w:tcW w:w="10485" w:type="dxa"/>
            <w:shd w:val="clear" w:color="auto" w:fill="0070C0"/>
          </w:tcPr>
          <w:p w:rsidR="009854B3" w:rsidRPr="00A27799" w:rsidRDefault="009854B3">
            <w:pPr>
              <w:rPr>
                <w:rFonts w:cstheme="minorHAnsi"/>
                <w:color w:val="FFFFFF" w:themeColor="background1"/>
              </w:rPr>
            </w:pPr>
            <w:r w:rsidRPr="00A27799">
              <w:rPr>
                <w:rFonts w:cstheme="minorHAnsi"/>
                <w:color w:val="FFFFFF" w:themeColor="background1"/>
              </w:rPr>
              <w:t>Core Purpose and Values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17571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Supporting all our children to grow into resourceful individuals, who are able to reach their full potential, feeling equipped with key skills.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17571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Provide a safe, caring and supportive environment for individuals to achieve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8218B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As part of the school Leadership Team develop and oversee the implementation of the school’s SEND strategy and policy</w:t>
            </w:r>
            <w:r w:rsidR="00027CFD" w:rsidRPr="00A27799">
              <w:rPr>
                <w:rFonts w:cstheme="minorHAnsi"/>
              </w:rPr>
              <w:t xml:space="preserve"> </w:t>
            </w:r>
          </w:p>
        </w:tc>
      </w:tr>
    </w:tbl>
    <w:p w:rsidR="009854B3" w:rsidRDefault="009854B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122DD" w:rsidTr="001122DD">
        <w:tc>
          <w:tcPr>
            <w:tcW w:w="10485" w:type="dxa"/>
            <w:shd w:val="clear" w:color="auto" w:fill="0070C0"/>
          </w:tcPr>
          <w:p w:rsidR="001122DD" w:rsidRPr="001122DD" w:rsidRDefault="001122DD">
            <w:pPr>
              <w:rPr>
                <w:rFonts w:cstheme="minorHAnsi"/>
                <w:b/>
                <w:color w:val="FFFFFF" w:themeColor="background1"/>
              </w:rPr>
            </w:pPr>
            <w:r w:rsidRPr="001122DD">
              <w:rPr>
                <w:rFonts w:cstheme="minorHAnsi"/>
                <w:b/>
                <w:color w:val="FFFFFF" w:themeColor="background1"/>
              </w:rPr>
              <w:t>Strategic Responsibilities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 Protection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Safeguarding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SEND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Whole school pastoral provision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Wellbeing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Social, Moral, Spiritual and Cultural development of students</w:t>
            </w:r>
          </w:p>
        </w:tc>
      </w:tr>
      <w:tr w:rsidR="001122DD" w:rsidTr="001122DD">
        <w:tc>
          <w:tcPr>
            <w:tcW w:w="10485" w:type="dxa"/>
          </w:tcPr>
          <w:p w:rsid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Behaviour for Learning</w:t>
            </w:r>
          </w:p>
        </w:tc>
      </w:tr>
    </w:tbl>
    <w:p w:rsidR="001122DD" w:rsidRDefault="001122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122DD" w:rsidTr="001122DD">
        <w:tc>
          <w:tcPr>
            <w:tcW w:w="10485" w:type="dxa"/>
            <w:shd w:val="clear" w:color="auto" w:fill="0070C0"/>
          </w:tcPr>
          <w:p w:rsidR="001122DD" w:rsidRPr="001122DD" w:rsidRDefault="001122DD">
            <w:pPr>
              <w:rPr>
                <w:rFonts w:cstheme="minorHAnsi"/>
                <w:b/>
                <w:color w:val="FFFFFF" w:themeColor="background1"/>
              </w:rPr>
            </w:pPr>
            <w:r w:rsidRPr="001122DD">
              <w:rPr>
                <w:rFonts w:cstheme="minorHAnsi"/>
                <w:b/>
                <w:color w:val="FFFFFF" w:themeColor="background1"/>
              </w:rPr>
              <w:t>Key Relationships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Learning Partners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Parents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Governors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Professional advisors in relation to SEND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Educational Psychology Service, Children’s Services, LA Safeguarding Lead</w:t>
            </w:r>
          </w:p>
        </w:tc>
      </w:tr>
    </w:tbl>
    <w:p w:rsidR="001122DD" w:rsidRPr="00A27799" w:rsidRDefault="001122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854B3" w:rsidRPr="00A27799" w:rsidTr="00A27799">
        <w:tc>
          <w:tcPr>
            <w:tcW w:w="10485" w:type="dxa"/>
            <w:shd w:val="clear" w:color="auto" w:fill="0070C0"/>
          </w:tcPr>
          <w:p w:rsidR="009854B3" w:rsidRPr="00A27799" w:rsidRDefault="009854B3">
            <w:pPr>
              <w:rPr>
                <w:rFonts w:cstheme="minorHAnsi"/>
                <w:color w:val="FFFFFF" w:themeColor="background1"/>
              </w:rPr>
            </w:pPr>
            <w:r w:rsidRPr="00A27799">
              <w:rPr>
                <w:rFonts w:cstheme="minorHAnsi"/>
                <w:color w:val="FFFFFF" w:themeColor="background1"/>
              </w:rPr>
              <w:t>Key Duties and Responsibilities</w:t>
            </w:r>
            <w:r w:rsidR="001122DD">
              <w:rPr>
                <w:rFonts w:cstheme="minorHAnsi"/>
                <w:color w:val="FFFFFF" w:themeColor="background1"/>
              </w:rPr>
              <w:t xml:space="preserve"> for SEND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ED4920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Strategic overview of Inclusion and SEN provision in the school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027CFD" w:rsidP="00027CFD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Manage and direct support for disadvantaged pupils across the school ensuring the highest standards of teaching and learning for those pupils</w:t>
            </w:r>
          </w:p>
        </w:tc>
      </w:tr>
      <w:tr w:rsidR="00027CFD" w:rsidRPr="00A27799" w:rsidTr="00A27799">
        <w:tc>
          <w:tcPr>
            <w:tcW w:w="10485" w:type="dxa"/>
          </w:tcPr>
          <w:p w:rsidR="00027CFD" w:rsidRPr="00A27799" w:rsidRDefault="00027CFD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Raise the attainment of disadvantaged pupils of all abilities to reach their potential</w:t>
            </w:r>
          </w:p>
        </w:tc>
      </w:tr>
      <w:tr w:rsidR="00027CFD" w:rsidRPr="00A27799" w:rsidTr="00A27799">
        <w:tc>
          <w:tcPr>
            <w:tcW w:w="10485" w:type="dxa"/>
          </w:tcPr>
          <w:p w:rsidR="00027CFD" w:rsidRPr="00A27799" w:rsidRDefault="00575911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Analyse school, local and national data and develop, direct and monitor appropriate strategies and interventions.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EB57FF" w:rsidP="00EB57FF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Identify and plan provision </w:t>
            </w:r>
            <w:r w:rsidR="00ED4920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for “narrowing the </w:t>
            </w:r>
            <w:proofErr w:type="spellStart"/>
            <w:r w:rsidR="00ED4920" w:rsidRPr="00A27799">
              <w:rPr>
                <w:rFonts w:asciiTheme="minorHAnsi" w:hAnsiTheme="minorHAnsi" w:cstheme="minorHAnsi"/>
                <w:sz w:val="22"/>
                <w:szCs w:val="22"/>
              </w:rPr>
              <w:t>gap”for</w:t>
            </w:r>
            <w:proofErr w:type="spellEnd"/>
            <w:r w:rsidR="00ED4920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underachieving groups including SEND, Pupil Premium</w:t>
            </w:r>
            <w:r w:rsidR="00AB75B6" w:rsidRPr="00A27799">
              <w:rPr>
                <w:rFonts w:asciiTheme="minorHAnsi" w:hAnsiTheme="minorHAnsi" w:cstheme="minorHAnsi"/>
                <w:sz w:val="22"/>
                <w:szCs w:val="22"/>
              </w:rPr>
              <w:t>, (FSM and LACL, EAL and any other children who are at risk of under-achieving)</w:t>
            </w:r>
          </w:p>
        </w:tc>
      </w:tr>
      <w:tr w:rsidR="00575911" w:rsidRPr="00A27799" w:rsidTr="00A27799">
        <w:tc>
          <w:tcPr>
            <w:tcW w:w="10485" w:type="dxa"/>
          </w:tcPr>
          <w:p w:rsidR="00575911" w:rsidRPr="00A27799" w:rsidRDefault="00575911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Provide advice, guidance and training to staff.  Support teachers to develop and implement effective teaching and behaviour management approaches in the classroom.</w:t>
            </w:r>
          </w:p>
        </w:tc>
      </w:tr>
      <w:tr w:rsidR="00BC13FE" w:rsidRPr="00A27799" w:rsidTr="00A27799">
        <w:tc>
          <w:tcPr>
            <w:tcW w:w="10485" w:type="dxa"/>
          </w:tcPr>
          <w:p w:rsidR="00AB75B6" w:rsidRPr="00A27799" w:rsidRDefault="00AB75B6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Liaison with outside agencies</w:t>
            </w:r>
            <w:r w:rsidR="000F2FDF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and support services</w:t>
            </w:r>
            <w:r w:rsidR="00306309">
              <w:rPr>
                <w:rFonts w:asciiTheme="minorHAnsi" w:hAnsiTheme="minorHAnsi" w:cstheme="minorHAnsi"/>
                <w:sz w:val="22"/>
                <w:szCs w:val="22"/>
              </w:rPr>
              <w:t xml:space="preserve"> both within KCC and at a national level</w:t>
            </w:r>
          </w:p>
        </w:tc>
      </w:tr>
      <w:tr w:rsidR="00575911" w:rsidRPr="00A27799" w:rsidTr="00A27799">
        <w:tc>
          <w:tcPr>
            <w:tcW w:w="10485" w:type="dxa"/>
          </w:tcPr>
          <w:p w:rsidR="00575911" w:rsidRPr="00A27799" w:rsidRDefault="00575911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Develop and improve</w:t>
            </w:r>
            <w:r w:rsidR="00EB57FF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recording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systems providing highly effective analysis of SEND across the school</w:t>
            </w:r>
          </w:p>
        </w:tc>
      </w:tr>
      <w:tr w:rsidR="00575911" w:rsidRPr="00A27799" w:rsidTr="00A27799">
        <w:tc>
          <w:tcPr>
            <w:tcW w:w="10485" w:type="dxa"/>
          </w:tcPr>
          <w:p w:rsidR="00575911" w:rsidRPr="00A27799" w:rsidRDefault="00575911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Ensure wellbeing of all is of the highest profile within the school.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AB75B6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Establishing strong relationships with parents of children with SEND 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AB75B6" w:rsidP="00567313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Direct work with children to assess and support their needs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0F2FDF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Operate an AEN budget efficiently and appropriately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027CFD" w:rsidP="00575911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 w:rsidR="00575911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and lead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Learning Partners and other SEN team members </w:t>
            </w:r>
            <w:r w:rsidR="00575911" w:rsidRPr="00A27799">
              <w:rPr>
                <w:rFonts w:asciiTheme="minorHAnsi" w:hAnsiTheme="minorHAnsi" w:cstheme="minorHAnsi"/>
                <w:sz w:val="22"/>
                <w:szCs w:val="22"/>
              </w:rPr>
              <w:t>to improve pupil progress and attainment</w:t>
            </w:r>
          </w:p>
        </w:tc>
      </w:tr>
      <w:tr w:rsidR="00BC13FE" w:rsidRPr="00A27799" w:rsidTr="00A27799">
        <w:tc>
          <w:tcPr>
            <w:tcW w:w="10485" w:type="dxa"/>
            <w:shd w:val="clear" w:color="auto" w:fill="auto"/>
          </w:tcPr>
          <w:p w:rsidR="00BC13FE" w:rsidRPr="00A27799" w:rsidRDefault="00027CFD" w:rsidP="00575911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Work in partnership with the Family Liaison Officer to ensure that all vulnerable </w:t>
            </w:r>
            <w:r w:rsidR="00575911" w:rsidRPr="00A27799">
              <w:rPr>
                <w:rFonts w:asciiTheme="minorHAnsi" w:hAnsiTheme="minorHAnsi" w:cstheme="minorHAnsi"/>
                <w:sz w:val="22"/>
                <w:szCs w:val="22"/>
              </w:rPr>
              <w:t>families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are supported effectively.</w:t>
            </w:r>
          </w:p>
        </w:tc>
      </w:tr>
      <w:tr w:rsidR="00BC13FE" w:rsidRPr="00A27799" w:rsidTr="00A27799">
        <w:tc>
          <w:tcPr>
            <w:tcW w:w="10485" w:type="dxa"/>
            <w:shd w:val="clear" w:color="auto" w:fill="auto"/>
          </w:tcPr>
          <w:p w:rsidR="00BC13FE" w:rsidRPr="00A27799" w:rsidRDefault="00027CFD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Teach individuals, </w:t>
            </w:r>
            <w:r w:rsidR="00F13CC0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small groups 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and whole class teaching </w:t>
            </w:r>
            <w:r w:rsidR="00F13CC0" w:rsidRPr="00A27799">
              <w:rPr>
                <w:rFonts w:asciiTheme="minorHAnsi" w:hAnsiTheme="minorHAnsi" w:cstheme="minorHAnsi"/>
                <w:sz w:val="22"/>
                <w:szCs w:val="22"/>
              </w:rPr>
              <w:t>where necessary</w:t>
            </w:r>
          </w:p>
        </w:tc>
      </w:tr>
      <w:tr w:rsidR="00EB57FF" w:rsidRPr="00A27799" w:rsidTr="00A27799">
        <w:tc>
          <w:tcPr>
            <w:tcW w:w="10485" w:type="dxa"/>
            <w:shd w:val="clear" w:color="auto" w:fill="auto"/>
          </w:tcPr>
          <w:p w:rsidR="00EB57FF" w:rsidRPr="00A27799" w:rsidRDefault="00EB57FF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 with Governing body to ensure understanding of the provision, attainment and effectiveness of inclusion and SEND in school</w:t>
            </w:r>
          </w:p>
        </w:tc>
      </w:tr>
    </w:tbl>
    <w:p w:rsidR="009854B3" w:rsidRPr="00A27799" w:rsidRDefault="009854B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BC13FE" w:rsidRPr="00A27799" w:rsidTr="00A27799">
        <w:tc>
          <w:tcPr>
            <w:tcW w:w="10485" w:type="dxa"/>
            <w:gridSpan w:val="2"/>
            <w:shd w:val="clear" w:color="auto" w:fill="0070C0"/>
          </w:tcPr>
          <w:p w:rsidR="00BC13FE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General Duties – this list is </w:t>
            </w:r>
            <w:r w:rsidRPr="00E138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</w:t>
            </w:r>
            <w:r w:rsidRPr="00A277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exhaustive and is an outline of the basics of the role.  The post holder will be required to undertake additional duties at the request of the Headteacher and SLT</w:t>
            </w:r>
          </w:p>
        </w:tc>
      </w:tr>
      <w:tr w:rsidR="009F3B66" w:rsidRPr="00A27799" w:rsidTr="00A27799">
        <w:tc>
          <w:tcPr>
            <w:tcW w:w="2122" w:type="dxa"/>
            <w:vMerge w:val="restart"/>
            <w:vAlign w:val="center"/>
          </w:tcPr>
          <w:p w:rsidR="009F3B66" w:rsidRPr="00A27799" w:rsidRDefault="00215789" w:rsidP="009F3B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b/>
                <w:sz w:val="22"/>
                <w:szCs w:val="22"/>
              </w:rPr>
              <w:t>Teaching and Learning</w:t>
            </w:r>
          </w:p>
        </w:tc>
        <w:tc>
          <w:tcPr>
            <w:tcW w:w="8363" w:type="dxa"/>
          </w:tcPr>
          <w:p w:rsidR="009F3B6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Support the identification of, and disseminate the most effective teaching approaches for pupils.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233987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Monitor teaching &amp; learning activities to meet the needs of </w:t>
            </w:r>
            <w:r w:rsidR="001122DD">
              <w:rPr>
                <w:rFonts w:asciiTheme="minorHAnsi" w:hAnsiTheme="minorHAnsi" w:cstheme="minorHAnsi"/>
                <w:sz w:val="22"/>
                <w:szCs w:val="22"/>
              </w:rPr>
              <w:t>all children</w:t>
            </w:r>
            <w:r w:rsidR="00575911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and where necessary provide training and support to teachers and Learning Partners</w:t>
            </w:r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To model effective teaching, to coach and train colleagues and to teach across the school</w:t>
            </w:r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787BC6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Work with </w:t>
            </w:r>
            <w:r w:rsidR="001122DD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, class teacher and key stage managers to ensure realistic and challenging expectations of children.</w:t>
            </w:r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Support teachers to develop schemes of work and learning programmes for pupils with SEN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233987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Liaise with other schools and outside agencies to ensure the continuity of support and learning when transferring SEN/EAL and G&amp;T pupils.</w:t>
            </w:r>
          </w:p>
        </w:tc>
      </w:tr>
      <w:tr w:rsidR="009F3B66" w:rsidRPr="00A27799" w:rsidTr="00E64580">
        <w:tc>
          <w:tcPr>
            <w:tcW w:w="2122" w:type="dxa"/>
            <w:vMerge w:val="restart"/>
            <w:vAlign w:val="center"/>
          </w:tcPr>
          <w:p w:rsidR="009F3B66" w:rsidRPr="00A27799" w:rsidRDefault="00215789" w:rsidP="00E6458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b/>
                <w:sz w:val="22"/>
                <w:szCs w:val="22"/>
              </w:rPr>
              <w:t>Recording and Assessment</w:t>
            </w:r>
          </w:p>
        </w:tc>
        <w:tc>
          <w:tcPr>
            <w:tcW w:w="8363" w:type="dxa"/>
          </w:tcPr>
          <w:p w:rsidR="009F3B66" w:rsidRPr="00A27799" w:rsidRDefault="004A43A2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Set targets for raising achievement</w:t>
            </w:r>
            <w:r w:rsidR="001122DD">
              <w:rPr>
                <w:rFonts w:asciiTheme="minorHAnsi" w:hAnsiTheme="minorHAnsi" w:cstheme="minorHAnsi"/>
                <w:sz w:val="22"/>
                <w:szCs w:val="22"/>
              </w:rPr>
              <w:t xml:space="preserve">, with particular focus for 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SEN/EAL/G&amp;T pupils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75911" w:rsidP="005759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Ensure that the system</w:t>
            </w:r>
            <w:r w:rsidR="004A43A2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for identifying SEN and assessing and reviewing SEN/EAL and G&amp;T provision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is fully utilised providing real time information</w:t>
            </w:r>
            <w:r w:rsidR="004A43A2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.  Including creating and monitoring 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EHCP</w:t>
            </w:r>
            <w:r w:rsidR="004A43A2" w:rsidRPr="00A27799">
              <w:rPr>
                <w:rFonts w:asciiTheme="minorHAnsi" w:hAnsiTheme="minorHAnsi" w:cstheme="minorHAnsi"/>
                <w:sz w:val="22"/>
                <w:szCs w:val="22"/>
              </w:rPr>
              <w:t>s and provision maps with class teachers and Learning Partners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F200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Update the Headteacher and Governors on the effectiveness of provision for SEN/G&amp;T pupils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F200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Keep parents informed about their child’s progress through</w:t>
            </w:r>
            <w:r w:rsidR="00EB57FF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reporting, 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individual meetings and at parent consultation evenings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F200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Prepare applications for Statements of Educational Needs alongside the Headteacher, co-ordinate and attend annual reviews 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F200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Maintain SEN and G&amp;T register/profile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5F200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Make applications for additional support/time for end of Key Stage and PESE assessment</w:t>
            </w:r>
          </w:p>
        </w:tc>
      </w:tr>
      <w:tr w:rsidR="008564AD" w:rsidRPr="00A27799" w:rsidTr="00A27799">
        <w:tc>
          <w:tcPr>
            <w:tcW w:w="2122" w:type="dxa"/>
            <w:vMerge w:val="restart"/>
          </w:tcPr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64AD" w:rsidRPr="00A27799" w:rsidRDefault="008564AD" w:rsidP="0021578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b/>
                <w:sz w:val="22"/>
                <w:szCs w:val="22"/>
              </w:rPr>
              <w:t>Leadership</w:t>
            </w:r>
            <w:r w:rsidR="00A277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A27799" w:rsidRPr="00A27799">
              <w:rPr>
                <w:rFonts w:asciiTheme="minorHAnsi" w:hAnsiTheme="minorHAnsi" w:cstheme="minorHAnsi"/>
                <w:i/>
                <w:sz w:val="22"/>
                <w:szCs w:val="22"/>
              </w:rPr>
              <w:t>Strategic direction and development of SEND and other group provision in the school</w:t>
            </w:r>
          </w:p>
        </w:tc>
        <w:tc>
          <w:tcPr>
            <w:tcW w:w="8363" w:type="dxa"/>
          </w:tcPr>
          <w:p w:rsidR="008564AD" w:rsidRPr="00A27799" w:rsidRDefault="00EB57FF" w:rsidP="00EB57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8564AD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all members of staff 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564AD" w:rsidRPr="00A27799">
              <w:rPr>
                <w:rFonts w:asciiTheme="minorHAnsi" w:hAnsiTheme="minorHAnsi" w:cstheme="minorHAnsi"/>
                <w:sz w:val="22"/>
                <w:szCs w:val="22"/>
              </w:rPr>
              <w:t>ecognise and fulfil their statutory responsibilities to SEN/EAL and G&amp;T pupils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.  Where there are gaps provide guidance and support to remove.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Provide training opportunities for Learning Partners and other staff to learn about Inclusion and Wellbeing/Mental Health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EB57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Responsibility for the appointment, supervision, organisation and performance management of Learning Partners.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EB57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Lead staff in the successful deployment of Learning Partners across the School</w:t>
            </w:r>
            <w:r w:rsidR="00EB57FF" w:rsidRPr="00A27799">
              <w:rPr>
                <w:rFonts w:asciiTheme="minorHAnsi" w:hAnsiTheme="minorHAnsi" w:cstheme="minorHAnsi"/>
                <w:sz w:val="22"/>
                <w:szCs w:val="22"/>
              </w:rPr>
              <w:t>.  Ensure that t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he overall deployment of Learning Partners across the school</w:t>
            </w:r>
            <w:r w:rsidR="00EB57FF" w:rsidRPr="00A27799">
              <w:rPr>
                <w:rFonts w:asciiTheme="minorHAnsi" w:hAnsiTheme="minorHAnsi" w:cstheme="minorHAnsi"/>
                <w:sz w:val="22"/>
                <w:szCs w:val="22"/>
              </w:rPr>
              <w:t xml:space="preserve"> is effective.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Identify resources needed to meet the needs of SEN/EAL/G&amp;T pupils and advise Headteacher of priorities for expenditure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Disseminate good practice in Inclusion across the school</w:t>
            </w:r>
          </w:p>
        </w:tc>
      </w:tr>
      <w:tr w:rsidR="00E138E6" w:rsidRPr="00A27799" w:rsidTr="00A27799">
        <w:tc>
          <w:tcPr>
            <w:tcW w:w="2122" w:type="dxa"/>
            <w:vMerge/>
          </w:tcPr>
          <w:p w:rsidR="00E138E6" w:rsidRPr="00A27799" w:rsidRDefault="00E138E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E138E6" w:rsidRPr="00A27799" w:rsidRDefault="00E138E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8E6">
              <w:rPr>
                <w:rFonts w:asciiTheme="minorHAnsi" w:hAnsiTheme="minorHAnsi" w:cstheme="minorHAnsi"/>
                <w:sz w:val="22"/>
                <w:szCs w:val="22"/>
              </w:rPr>
              <w:t xml:space="preserve">Devise and promote plans to ensure the needs of all pupils </w:t>
            </w:r>
            <w:proofErr w:type="gramStart"/>
            <w:r w:rsidRPr="00E138E6">
              <w:rPr>
                <w:rFonts w:asciiTheme="minorHAnsi" w:hAnsiTheme="minorHAnsi" w:cstheme="minorHAnsi"/>
                <w:sz w:val="22"/>
                <w:szCs w:val="22"/>
              </w:rPr>
              <w:t>are met</w:t>
            </w:r>
            <w:proofErr w:type="gramEnd"/>
            <w:r w:rsidRPr="00E138E6">
              <w:rPr>
                <w:rFonts w:asciiTheme="minorHAnsi" w:hAnsiTheme="minorHAnsi" w:cstheme="minorHAnsi"/>
                <w:sz w:val="22"/>
                <w:szCs w:val="22"/>
              </w:rPr>
              <w:t xml:space="preserve"> and that they are reflected in the School Development Plan.</w:t>
            </w:r>
            <w:r w:rsidR="00306309">
              <w:rPr>
                <w:rFonts w:asciiTheme="minorHAnsi" w:hAnsiTheme="minorHAnsi" w:cstheme="minorHAnsi"/>
                <w:sz w:val="22"/>
                <w:szCs w:val="22"/>
              </w:rPr>
              <w:t xml:space="preserve">  Reviewing these plans and meeting regularly with the SLT to review whole school progress,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EB57FF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Ensure that the provision for disadvantaged/vulnerable pupils and those with identified SEND needs is accurately monitored, recorded and shared with Leadership to inform strategy.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Model good practice in teaching pupils with SEN including those with severe complex needs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Provide group wave intervention support as needed and appropriate</w:t>
            </w:r>
          </w:p>
        </w:tc>
      </w:tr>
      <w:tr w:rsidR="00A27799" w:rsidRPr="00A27799" w:rsidTr="00A27799">
        <w:tc>
          <w:tcPr>
            <w:tcW w:w="2122" w:type="dxa"/>
            <w:vMerge/>
          </w:tcPr>
          <w:p w:rsidR="00A27799" w:rsidRPr="00A27799" w:rsidRDefault="00A27799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A27799" w:rsidRPr="00A27799" w:rsidRDefault="00A27799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Develop partnerships with parents to ensure that their views are considered and acted upon appropriately.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A27799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Liaise with staff, parents, external agencies and other schools to co-ordinate their contribution, provide maximum support and ensure continuity of educational provision for all pupils.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E138E6" w:rsidP="00D772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8E6">
              <w:rPr>
                <w:rFonts w:asciiTheme="minorHAnsi" w:hAnsiTheme="minorHAnsi" w:cstheme="minorHAnsi"/>
                <w:sz w:val="22"/>
                <w:szCs w:val="22"/>
              </w:rPr>
              <w:t>Analyse and interpret relevant school, local and national data/information relating to groups of pupils and advise the Head Teacher on the level of resources required to maximise achievement.</w:t>
            </w:r>
          </w:p>
        </w:tc>
      </w:tr>
      <w:tr w:rsidR="00E138E6" w:rsidRPr="00A27799" w:rsidTr="00A27799">
        <w:tc>
          <w:tcPr>
            <w:tcW w:w="2122" w:type="dxa"/>
            <w:vMerge/>
          </w:tcPr>
          <w:p w:rsidR="00E138E6" w:rsidRPr="00A27799" w:rsidRDefault="00E138E6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E138E6" w:rsidRPr="00E138E6" w:rsidRDefault="00E138E6" w:rsidP="00D772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8E6">
              <w:rPr>
                <w:rFonts w:asciiTheme="minorHAnsi" w:hAnsiTheme="minorHAnsi" w:cstheme="minorHAnsi"/>
                <w:sz w:val="22"/>
                <w:szCs w:val="22"/>
              </w:rPr>
              <w:t>Regularly monitor progress against targets for all relevant pupils from teachers’ plans, evaluate the effectiveness of teaching and learning by work analysis and use these analyses to guide future improvements.</w:t>
            </w:r>
          </w:p>
        </w:tc>
      </w:tr>
      <w:tr w:rsidR="008564AD" w:rsidRPr="00A27799" w:rsidTr="00A27799">
        <w:tc>
          <w:tcPr>
            <w:tcW w:w="2122" w:type="dxa"/>
            <w:vMerge/>
          </w:tcPr>
          <w:p w:rsidR="008564AD" w:rsidRPr="00A27799" w:rsidRDefault="008564AD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564AD" w:rsidRPr="00A27799" w:rsidRDefault="008564AD" w:rsidP="00D772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Lead CPD on inclusion matters as needed across the school</w:t>
            </w:r>
          </w:p>
        </w:tc>
      </w:tr>
      <w:tr w:rsidR="008E2A11" w:rsidRPr="00A27799" w:rsidTr="00A27799">
        <w:tc>
          <w:tcPr>
            <w:tcW w:w="2122" w:type="dxa"/>
            <w:vMerge w:val="restart"/>
          </w:tcPr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Responsibilities and General Requirement</w:t>
            </w: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Support the aims and ethos of the school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8E2A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 and lea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 staff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appropriate.  </w:t>
            </w: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Attend and participate in relevant training sharing the knowledge and ideas gained with colleagues.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Attend INSET days, team and staff meetings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Develop links with Governors, external agencies and neighbouring schools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Uphold the school’s behaviour code and uniform regulations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Participate in parent consultations/evenings when required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Undertake any professional duties commensurate with the grade of the post, reasonably delegated to him/her by the Head Teacher.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8E2A11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Show commitment to the school, its inclusive ethos and equal opportunities for all in the school community, opposing strongly any form of discrimination.</w:t>
            </w:r>
          </w:p>
        </w:tc>
      </w:tr>
    </w:tbl>
    <w:p w:rsidR="00BC13FE" w:rsidRPr="00A27799" w:rsidRDefault="00BC13FE" w:rsidP="009F3B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BC13FE" w:rsidRPr="00A27799" w:rsidSect="00A277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23"/>
    <w:multiLevelType w:val="hybridMultilevel"/>
    <w:tmpl w:val="58D8B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6C96"/>
    <w:multiLevelType w:val="hybridMultilevel"/>
    <w:tmpl w:val="5972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09E8"/>
    <w:multiLevelType w:val="hybridMultilevel"/>
    <w:tmpl w:val="6860B3FA"/>
    <w:lvl w:ilvl="0" w:tplc="EF74C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416C6"/>
    <w:multiLevelType w:val="hybridMultilevel"/>
    <w:tmpl w:val="71A65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3"/>
    <w:rsid w:val="00027CFD"/>
    <w:rsid w:val="000A7E1E"/>
    <w:rsid w:val="000F2FDF"/>
    <w:rsid w:val="001122DD"/>
    <w:rsid w:val="00122768"/>
    <w:rsid w:val="0017571A"/>
    <w:rsid w:val="001D4121"/>
    <w:rsid w:val="00215789"/>
    <w:rsid w:val="00233987"/>
    <w:rsid w:val="002D58B5"/>
    <w:rsid w:val="002F0D49"/>
    <w:rsid w:val="00306309"/>
    <w:rsid w:val="003230DF"/>
    <w:rsid w:val="003E4E8B"/>
    <w:rsid w:val="004A43A2"/>
    <w:rsid w:val="00575911"/>
    <w:rsid w:val="005B76A8"/>
    <w:rsid w:val="005F2006"/>
    <w:rsid w:val="006867FF"/>
    <w:rsid w:val="00787BC6"/>
    <w:rsid w:val="007D18D2"/>
    <w:rsid w:val="008218BA"/>
    <w:rsid w:val="008564AD"/>
    <w:rsid w:val="008E2A11"/>
    <w:rsid w:val="00966FAE"/>
    <w:rsid w:val="009854B3"/>
    <w:rsid w:val="009F3B66"/>
    <w:rsid w:val="00A002E5"/>
    <w:rsid w:val="00A27799"/>
    <w:rsid w:val="00AB75B6"/>
    <w:rsid w:val="00AC0416"/>
    <w:rsid w:val="00AC1A53"/>
    <w:rsid w:val="00B620F7"/>
    <w:rsid w:val="00BB4B63"/>
    <w:rsid w:val="00BC13FE"/>
    <w:rsid w:val="00BC7094"/>
    <w:rsid w:val="00C409F2"/>
    <w:rsid w:val="00C415F4"/>
    <w:rsid w:val="00CF00FC"/>
    <w:rsid w:val="00D77278"/>
    <w:rsid w:val="00DB10EE"/>
    <w:rsid w:val="00E06F43"/>
    <w:rsid w:val="00E138E6"/>
    <w:rsid w:val="00E64580"/>
    <w:rsid w:val="00EA2CB3"/>
    <w:rsid w:val="00EB57FF"/>
    <w:rsid w:val="00ED4920"/>
    <w:rsid w:val="00EF56EC"/>
    <w:rsid w:val="00F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5DFC"/>
  <w15:chartTrackingRefBased/>
  <w15:docId w15:val="{5A93CF1D-CE04-4852-9152-F6C6785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4">
    <w:name w:val="indent4"/>
    <w:basedOn w:val="Normal"/>
    <w:rsid w:val="00BC13FE"/>
    <w:pPr>
      <w:ind w:left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BC13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5">
    <w:name w:val="indent5"/>
    <w:basedOn w:val="Normal"/>
    <w:rsid w:val="00BC13FE"/>
    <w:pPr>
      <w:ind w:left="1134" w:hanging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Otford Primary School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Sells</dc:creator>
  <cp:keywords/>
  <dc:description/>
  <cp:lastModifiedBy>Ms Clark</cp:lastModifiedBy>
  <cp:revision>2</cp:revision>
  <cp:lastPrinted>2021-03-01T12:12:00Z</cp:lastPrinted>
  <dcterms:created xsi:type="dcterms:W3CDTF">2021-03-19T14:26:00Z</dcterms:created>
  <dcterms:modified xsi:type="dcterms:W3CDTF">2021-03-19T14:26:00Z</dcterms:modified>
</cp:coreProperties>
</file>