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D1536" w14:textId="554A354A" w:rsidR="007968A9" w:rsidRPr="00A14064" w:rsidRDefault="00A14064" w:rsidP="00A14064">
      <w:bookmarkStart w:id="0" w:name="_GoBack"/>
      <w:bookmarkEnd w:id="0"/>
      <w:r>
        <w:rPr>
          <w:b/>
          <w:noProof/>
          <w:lang w:eastAsia="en-GB"/>
        </w:rPr>
        <mc:AlternateContent>
          <mc:Choice Requires="wpg">
            <w:drawing>
              <wp:anchor distT="0" distB="0" distL="114300" distR="114300" simplePos="0" relativeHeight="251659264" behindDoc="0" locked="0" layoutInCell="1" allowOverlap="1" wp14:anchorId="1AEB3A31" wp14:editId="4D242944">
                <wp:simplePos x="0" y="0"/>
                <wp:positionH relativeFrom="column">
                  <wp:posOffset>0</wp:posOffset>
                </wp:positionH>
                <wp:positionV relativeFrom="paragraph">
                  <wp:posOffset>-635</wp:posOffset>
                </wp:positionV>
                <wp:extent cx="6467475" cy="8100695"/>
                <wp:effectExtent l="0" t="0" r="28575" b="14605"/>
                <wp:wrapNone/>
                <wp:docPr id="4" name="Group 4"/>
                <wp:cNvGraphicFramePr/>
                <a:graphic xmlns:a="http://schemas.openxmlformats.org/drawingml/2006/main">
                  <a:graphicData uri="http://schemas.microsoft.com/office/word/2010/wordprocessingGroup">
                    <wpg:wgp>
                      <wpg:cNvGrpSpPr/>
                      <wpg:grpSpPr>
                        <a:xfrm>
                          <a:off x="0" y="0"/>
                          <a:ext cx="6467475" cy="8100695"/>
                          <a:chOff x="0" y="0"/>
                          <a:chExt cx="6467475" cy="8100695"/>
                        </a:xfrm>
                      </wpg:grpSpPr>
                      <wps:wsp>
                        <wps:cNvPr id="2" name="Rounded Rectangle 2"/>
                        <wps:cNvSpPr/>
                        <wps:spPr>
                          <a:xfrm>
                            <a:off x="0" y="0"/>
                            <a:ext cx="1562100" cy="899795"/>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002F7" w14:textId="77777777" w:rsidR="00A14064" w:rsidRPr="007B66D3" w:rsidRDefault="00A14064" w:rsidP="00A14064">
                              <w:r w:rsidRPr="007B66D3">
                                <w:rPr>
                                  <w:rFonts w:ascii="Rockwell" w:hAnsi="Rockwell" w:cs="Arial"/>
                                  <w:color w:val="FFFFFF" w:themeColor="background1"/>
                                </w:rPr>
                                <w:t>Vision</w:t>
                              </w:r>
                              <w:r>
                                <w:rPr>
                                  <w:rFonts w:ascii="Rockwell" w:hAnsi="Rockwell" w:cs="Arial"/>
                                  <w:color w:val="FFFFFF" w:themeColor="background1"/>
                                </w:rPr>
                                <w:t xml:space="preserve"> and</w:t>
                              </w:r>
                              <w:r w:rsidRPr="007B66D3">
                                <w:rPr>
                                  <w:rFonts w:ascii="Rockwell" w:hAnsi="Rockwell" w:cs="Arial"/>
                                  <w:color w:val="FFFFFF" w:themeColor="background1"/>
                                </w:rPr>
                                <w:t xml:space="preserve"> </w:t>
                              </w:r>
                              <w:r>
                                <w:rPr>
                                  <w:rFonts w:ascii="Rockwell" w:hAnsi="Rockwell" w:cs="Arial"/>
                                  <w:color w:val="FFFFFF" w:themeColor="background1"/>
                                </w:rPr>
                                <w:t>s</w:t>
                              </w:r>
                              <w:r w:rsidRPr="007B66D3">
                                <w:rPr>
                                  <w:rFonts w:ascii="Rockwell" w:hAnsi="Rockwell" w:cs="Arial"/>
                                  <w:color w:val="FFFFFF" w:themeColor="background1"/>
                                </w:rPr>
                                <w:t xml:space="preserve">trategy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1571625" y="9525"/>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331E83B7" w14:textId="77777777" w:rsidR="00A14064" w:rsidRPr="00B51D22" w:rsidRDefault="00A14064" w:rsidP="00A14064">
                              <w:pPr>
                                <w:spacing w:line="247" w:lineRule="auto"/>
                                <w:contextualSpacing/>
                                <w:rPr>
                                  <w:sz w:val="20"/>
                                  <w:szCs w:val="20"/>
                                </w:rPr>
                              </w:pPr>
                              <w:r w:rsidRPr="00B51D22">
                                <w:rPr>
                                  <w:rFonts w:ascii="Arial" w:hAnsi="Arial" w:cs="Arial"/>
                                  <w:sz w:val="20"/>
                                  <w:szCs w:val="20"/>
                                </w:rPr>
                                <w:t>Brook Learning Trust leaders are passionate about education and make a difference to young people, their families and the community. Our leaders articulate a clear and compelling vision underpinned by the moral purpose and values of BLT. They accept ambiguity, simplify complex issues, and use research and data to identify priorities and to support evidence-based action leading to improvement.</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s:wsp>
                        <wps:cNvPr id="11" name="Rounded Rectangle 11"/>
                        <wps:cNvSpPr/>
                        <wps:spPr>
                          <a:xfrm>
                            <a:off x="9525" y="1028700"/>
                            <a:ext cx="1562100" cy="899795"/>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FCFFC" w14:textId="77777777" w:rsidR="00A14064" w:rsidRPr="007B66D3" w:rsidRDefault="00A14064" w:rsidP="00A14064">
                              <w:r w:rsidRPr="00145EAD">
                                <w:rPr>
                                  <w:rFonts w:ascii="Rockwell" w:hAnsi="Rockwell" w:cs="Arial"/>
                                  <w:color w:val="FFFFFF" w:themeColor="background1"/>
                                </w:rPr>
                                <w:t>Impact, influence and inspiration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9525" y="6162675"/>
                            <a:ext cx="1562100" cy="899795"/>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ABB7B"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Resilience, courage and personal drive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9525" y="5143500"/>
                            <a:ext cx="1562100" cy="900000"/>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873BB9"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Facilitating positive change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9525" y="4114800"/>
                            <a:ext cx="1562100" cy="900000"/>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0ADA1C"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Collaboration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25" y="7200900"/>
                            <a:ext cx="1562100" cy="899795"/>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E3CF6"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Managing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9525" y="2057400"/>
                            <a:ext cx="1562100" cy="900000"/>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58C93" w14:textId="77777777" w:rsidR="00A14064" w:rsidRPr="001752C0" w:rsidRDefault="00A14064" w:rsidP="00A14064">
                              <w:pPr>
                                <w:rPr>
                                  <w:rFonts w:ascii="Rockwell" w:hAnsi="Rockwell" w:cs="Arial"/>
                                  <w:color w:val="FFFFFF" w:themeColor="background1"/>
                                </w:rPr>
                              </w:pPr>
                              <w:r w:rsidRPr="001752C0">
                                <w:rPr>
                                  <w:rFonts w:ascii="Rockwell" w:hAnsi="Rockwell" w:cs="Arial"/>
                                  <w:color w:val="FFFFFF" w:themeColor="background1"/>
                                </w:rPr>
                                <w:t>Integrity</w:t>
                              </w:r>
                              <w:r w:rsidRPr="00145EAD">
                                <w:rPr>
                                  <w:rFonts w:ascii="Rockwell" w:hAnsi="Rockwell" w:cs="Arial"/>
                                  <w:color w:val="FFFFFF" w:themeColor="background1"/>
                                </w:rPr>
                                <w:t xml:space="preserve"> and 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ounded Rectangle 18"/>
                        <wps:cNvSpPr/>
                        <wps:spPr>
                          <a:xfrm>
                            <a:off x="9525" y="3086100"/>
                            <a:ext cx="1562100" cy="900000"/>
                          </a:xfrm>
                          <a:prstGeom prst="roundRect">
                            <a:avLst/>
                          </a:prstGeom>
                          <a:solidFill>
                            <a:srgbClr val="003E7E"/>
                          </a:solidFill>
                          <a:ln w="19050">
                            <a:solidFill>
                              <a:srgbClr val="003E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EA9C2"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 xml:space="preserve">Developing </w:t>
                              </w:r>
                              <w:r>
                                <w:rPr>
                                  <w:rFonts w:ascii="Rockwell" w:hAnsi="Rockwell" w:cs="Arial"/>
                                  <w:color w:val="FFFFFF" w:themeColor="background1"/>
                                </w:rPr>
                                <w:t>s</w:t>
                              </w:r>
                              <w:r w:rsidRPr="00145EAD">
                                <w:rPr>
                                  <w:rFonts w:ascii="Rockwell" w:hAnsi="Rockwell" w:cs="Arial"/>
                                  <w:color w:val="FFFFFF" w:themeColor="background1"/>
                                </w:rPr>
                                <w:t xml:space="preserve">elf </w:t>
                              </w:r>
                              <w:r>
                                <w:rPr>
                                  <w:rFonts w:ascii="Rockwell" w:hAnsi="Rockwell" w:cs="Arial"/>
                                  <w:color w:val="FFFFFF" w:themeColor="background1"/>
                                </w:rPr>
                                <w:t>and</w:t>
                              </w:r>
                              <w:r w:rsidRPr="00145EAD">
                                <w:rPr>
                                  <w:rFonts w:ascii="Rockwell" w:hAnsi="Rockwell" w:cs="Arial"/>
                                  <w:color w:val="FFFFFF" w:themeColor="background1"/>
                                </w:rPr>
                                <w:t xml:space="preserve"> </w:t>
                              </w:r>
                              <w:r>
                                <w:rPr>
                                  <w:rFonts w:ascii="Rockwell" w:hAnsi="Rockwell" w:cs="Arial"/>
                                  <w:color w:val="FFFFFF" w:themeColor="background1"/>
                                </w:rPr>
                                <w:t>o</w:t>
                              </w:r>
                              <w:r w:rsidRPr="00145EAD">
                                <w:rPr>
                                  <w:rFonts w:ascii="Rockwell" w:hAnsi="Rockwell" w:cs="Arial"/>
                                  <w:color w:val="FFFFFF" w:themeColor="background1"/>
                                </w:rPr>
                                <w:t>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1571625" y="7200900"/>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0BC366D3"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holds others to account, challenge systems that do not add value and </w:t>
                              </w:r>
                              <w:proofErr w:type="spellStart"/>
                              <w:r w:rsidRPr="00B51D22">
                                <w:rPr>
                                  <w:rFonts w:ascii="Arial" w:hAnsi="Arial" w:cs="Arial"/>
                                  <w:sz w:val="20"/>
                                  <w:szCs w:val="20"/>
                                </w:rPr>
                                <w:t>minimise</w:t>
                              </w:r>
                              <w:proofErr w:type="spellEnd"/>
                              <w:r w:rsidRPr="00B51D22">
                                <w:rPr>
                                  <w:rFonts w:ascii="Arial" w:hAnsi="Arial" w:cs="Arial"/>
                                  <w:sz w:val="20"/>
                                  <w:szCs w:val="20"/>
                                </w:rPr>
                                <w:t xml:space="preserve"> waste and unnecessary duplication. Our leaders are efficient, ensuring provision and services are delivered within the allocated resource and accurately forecasting resources required. They manage and deploy capacity to </w:t>
                              </w:r>
                              <w:proofErr w:type="spellStart"/>
                              <w:r w:rsidRPr="00B51D22">
                                <w:rPr>
                                  <w:rFonts w:ascii="Arial" w:hAnsi="Arial" w:cs="Arial"/>
                                  <w:sz w:val="20"/>
                                  <w:szCs w:val="20"/>
                                </w:rPr>
                                <w:t>maximise</w:t>
                              </w:r>
                              <w:proofErr w:type="spellEnd"/>
                              <w:r w:rsidRPr="00B51D22">
                                <w:rPr>
                                  <w:rFonts w:ascii="Arial" w:hAnsi="Arial" w:cs="Arial"/>
                                  <w:sz w:val="20"/>
                                  <w:szCs w:val="20"/>
                                </w:rPr>
                                <w:t xml:space="preserve"> student achievement.</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s:wsp>
                        <wps:cNvPr id="20" name="Rounded Rectangle 20"/>
                        <wps:cNvSpPr/>
                        <wps:spPr>
                          <a:xfrm>
                            <a:off x="1571625" y="6172200"/>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624C5D21"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Brook Learning Trust leaders remain courageous and positive in adverse or uncertain circumstances. Our leaders are self-driven, act deftly to anticipate events and take a creative, solution focused approach to challenges. They are disciplined, remain focused and recover quickly from setbacks.</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s:wsp>
                        <wps:cNvPr id="21" name="Rounded Rectangle 21"/>
                        <wps:cNvSpPr/>
                        <wps:spPr>
                          <a:xfrm>
                            <a:off x="1571625" y="1019175"/>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269DA8D6"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driven by passion and purpose, inspire others and have a positive and enduring influence. Our leaders motivate and </w:t>
                              </w:r>
                              <w:proofErr w:type="spellStart"/>
                              <w:r w:rsidRPr="00B51D22">
                                <w:rPr>
                                  <w:rFonts w:ascii="Arial" w:hAnsi="Arial" w:cs="Arial"/>
                                  <w:sz w:val="20"/>
                                  <w:szCs w:val="20"/>
                                </w:rPr>
                                <w:t>energise</w:t>
                              </w:r>
                              <w:proofErr w:type="spellEnd"/>
                              <w:r w:rsidRPr="00B51D22">
                                <w:rPr>
                                  <w:rFonts w:ascii="Arial" w:hAnsi="Arial" w:cs="Arial"/>
                                  <w:sz w:val="20"/>
                                  <w:szCs w:val="20"/>
                                </w:rPr>
                                <w:t xml:space="preserve"> through their expression of high expectation, by investing in colleagues, and by </w:t>
                              </w:r>
                              <w:proofErr w:type="spellStart"/>
                              <w:r w:rsidRPr="00B51D22">
                                <w:rPr>
                                  <w:rFonts w:ascii="Arial" w:hAnsi="Arial" w:cs="Arial"/>
                                  <w:sz w:val="20"/>
                                  <w:szCs w:val="20"/>
                                </w:rPr>
                                <w:t>recognising</w:t>
                              </w:r>
                              <w:proofErr w:type="spellEnd"/>
                              <w:r w:rsidRPr="00B51D22">
                                <w:rPr>
                                  <w:rFonts w:ascii="Arial" w:hAnsi="Arial" w:cs="Arial"/>
                                  <w:sz w:val="20"/>
                                  <w:szCs w:val="20"/>
                                </w:rPr>
                                <w:t xml:space="preserve"> others’ achievements. They demonstrate clarity in communication, listen with attention and gain buy-in from their teams.</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s:wsp>
                        <wps:cNvPr id="22" name="Rounded Rectangle 22"/>
                        <wps:cNvSpPr/>
                        <wps:spPr>
                          <a:xfrm>
                            <a:off x="1571625" y="5133975"/>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0962D829"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see situations with clarity and engage in reflective practice to inform meaningful change. Our leaders translate strategic objectives into workable plans that identify risk, critical success factors and measures for evaluation. They understand the theory of change implementation, </w:t>
                              </w:r>
                              <w:proofErr w:type="spellStart"/>
                              <w:r w:rsidRPr="00B51D22">
                                <w:rPr>
                                  <w:rFonts w:ascii="Arial" w:hAnsi="Arial" w:cs="Arial"/>
                                  <w:sz w:val="20"/>
                                  <w:szCs w:val="20"/>
                                </w:rPr>
                                <w:t>recognising</w:t>
                              </w:r>
                              <w:proofErr w:type="spellEnd"/>
                              <w:r w:rsidRPr="00B51D22">
                                <w:rPr>
                                  <w:rFonts w:ascii="Arial" w:hAnsi="Arial" w:cs="Arial"/>
                                  <w:sz w:val="20"/>
                                  <w:szCs w:val="20"/>
                                </w:rPr>
                                <w:t xml:space="preserve"> implementation as a process that requires time.</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s:wsp>
                        <wps:cNvPr id="23" name="Rounded Rectangle 23"/>
                        <wps:cNvSpPr/>
                        <wps:spPr>
                          <a:xfrm>
                            <a:off x="1571625" y="3086100"/>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300B5C23" w14:textId="77777777" w:rsidR="00A14064" w:rsidRPr="009E2C4F" w:rsidRDefault="00A14064" w:rsidP="00A14064">
                              <w:pPr>
                                <w:spacing w:line="247" w:lineRule="auto"/>
                                <w:contextualSpacing/>
                                <w:rPr>
                                  <w:rFonts w:ascii="Arial" w:hAnsi="Arial" w:cs="Arial"/>
                                  <w:color w:val="003E7E"/>
                                  <w:sz w:val="20"/>
                                  <w:szCs w:val="20"/>
                                </w:rPr>
                              </w:pPr>
                              <w:r w:rsidRPr="00B51D22">
                                <w:rPr>
                                  <w:rFonts w:ascii="Arial" w:hAnsi="Arial" w:cs="Arial"/>
                                  <w:sz w:val="20"/>
                                  <w:szCs w:val="20"/>
                                </w:rPr>
                                <w:t xml:space="preserve">Brook Learning Trust leaders are self-aware, reflective and seek to develop professionally by challenging their own performance. Our leaders </w:t>
                              </w:r>
                              <w:proofErr w:type="spellStart"/>
                              <w:r w:rsidRPr="00B51D22">
                                <w:rPr>
                                  <w:rFonts w:ascii="Arial" w:hAnsi="Arial" w:cs="Arial"/>
                                  <w:sz w:val="20"/>
                                  <w:szCs w:val="20"/>
                                </w:rPr>
                                <w:t>practise</w:t>
                              </w:r>
                              <w:proofErr w:type="spellEnd"/>
                              <w:r w:rsidRPr="00B51D22">
                                <w:rPr>
                                  <w:rFonts w:ascii="Arial" w:hAnsi="Arial" w:cs="Arial"/>
                                  <w:sz w:val="20"/>
                                  <w:szCs w:val="20"/>
                                </w:rPr>
                                <w:t xml:space="preserve"> well-being and facilitate the well-being of others.  They embrace the BLT CPG approach, coach and empower others, nurture talent and take action both to improve performance and celebrate success</w:t>
                              </w:r>
                              <w:r>
                                <w:rPr>
                                  <w:rFonts w:ascii="Arial" w:hAnsi="Arial" w:cs="Arial"/>
                                  <w:color w:val="003E7E"/>
                                  <w:sz w:val="20"/>
                                  <w:szCs w:val="20"/>
                                </w:rPr>
                                <w:t>.</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s:wsp>
                        <wps:cNvPr id="24" name="Rounded Rectangle 24"/>
                        <wps:cNvSpPr/>
                        <wps:spPr>
                          <a:xfrm>
                            <a:off x="1571625" y="2057400"/>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3EDA69E1"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are authentic. Our leaders demonstrate a high standard of professional </w:t>
                              </w:r>
                              <w:proofErr w:type="spellStart"/>
                              <w:r w:rsidRPr="00B51D22">
                                <w:rPr>
                                  <w:rFonts w:ascii="Arial" w:hAnsi="Arial" w:cs="Arial"/>
                                  <w:sz w:val="20"/>
                                  <w:szCs w:val="20"/>
                                </w:rPr>
                                <w:t>behaviour</w:t>
                              </w:r>
                              <w:proofErr w:type="spellEnd"/>
                              <w:r w:rsidRPr="00B51D22">
                                <w:rPr>
                                  <w:rFonts w:ascii="Arial" w:hAnsi="Arial" w:cs="Arial"/>
                                  <w:sz w:val="20"/>
                                  <w:szCs w:val="20"/>
                                </w:rPr>
                                <w:t xml:space="preserve"> and regard for others, treat everyone with respect and work to resolve conflict in a fair and just way. They model moral and ethical principles and integrity is the foundation of their practice.</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s:wsp>
                        <wps:cNvPr id="25" name="Rounded Rectangle 25"/>
                        <wps:cNvSpPr/>
                        <wps:spPr>
                          <a:xfrm>
                            <a:off x="1571625" y="4114800"/>
                            <a:ext cx="4895850" cy="899795"/>
                          </a:xfrm>
                          <a:prstGeom prst="roundRect">
                            <a:avLst/>
                          </a:prstGeom>
                          <a:gradFill flip="none" rotWithShape="1">
                            <a:gsLst>
                              <a:gs pos="0">
                                <a:srgbClr val="F6F8FC"/>
                              </a:gs>
                              <a:gs pos="33000">
                                <a:srgbClr val="C2D1EC"/>
                              </a:gs>
                              <a:gs pos="62000">
                                <a:srgbClr val="AABFE4"/>
                              </a:gs>
                              <a:gs pos="97000">
                                <a:srgbClr val="E5EBF7"/>
                              </a:gs>
                            </a:gsLst>
                            <a:lin ang="10800000" scaled="0"/>
                            <a:tileRect/>
                          </a:gradFill>
                          <a:ln>
                            <a:solidFill>
                              <a:srgbClr val="003E7E"/>
                            </a:solidFill>
                          </a:ln>
                        </wps:spPr>
                        <wps:style>
                          <a:lnRef idx="2">
                            <a:schemeClr val="accent6"/>
                          </a:lnRef>
                          <a:fillRef idx="1">
                            <a:schemeClr val="lt1"/>
                          </a:fillRef>
                          <a:effectRef idx="0">
                            <a:schemeClr val="accent6"/>
                          </a:effectRef>
                          <a:fontRef idx="minor">
                            <a:schemeClr val="dk1"/>
                          </a:fontRef>
                        </wps:style>
                        <wps:txbx>
                          <w:txbxContent>
                            <w:p w14:paraId="5C1CBB4C"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develop and sustain trusting, effective working relationships to secure genuine collaboration. Our leaders apply systems thinking, understand that the work of one affects the work of all and display flexibility of mind, entertaining the possibility of being wrong. They play a central role in the development of the </w:t>
                              </w:r>
                              <w:proofErr w:type="spellStart"/>
                              <w:r w:rsidRPr="00B51D22">
                                <w:rPr>
                                  <w:rFonts w:ascii="Arial" w:hAnsi="Arial" w:cs="Arial"/>
                                  <w:sz w:val="20"/>
                                  <w:szCs w:val="20"/>
                                </w:rPr>
                                <w:t>organisation</w:t>
                              </w:r>
                              <w:proofErr w:type="spellEnd"/>
                              <w:r w:rsidRPr="00B51D22">
                                <w:rPr>
                                  <w:rFonts w:ascii="Arial" w:hAnsi="Arial" w:cs="Arial"/>
                                  <w:sz w:val="20"/>
                                  <w:szCs w:val="20"/>
                                </w:rPr>
                                <w:t>.</w:t>
                              </w:r>
                            </w:p>
                          </w:txbxContent>
                        </wps:txbx>
                        <wps:bodyPr rot="0" spcFirstLastPara="0" vertOverflow="overflow" horzOverflow="overflow" vert="horz" wrap="square" lIns="36000" tIns="10800" rIns="36000" bIns="10800" numCol="1" spcCol="0" rtlCol="0" fromWordArt="0" anchor="ctr" anchorCtr="0" forceAA="0" compatLnSpc="1">
                          <a:prstTxWarp prst="textNoShape">
                            <a:avLst/>
                          </a:prstTxWarp>
                          <a:noAutofit/>
                        </wps:bodyPr>
                      </wps:wsp>
                    </wpg:wgp>
                  </a:graphicData>
                </a:graphic>
              </wp:anchor>
            </w:drawing>
          </mc:Choice>
          <mc:Fallback>
            <w:pict>
              <v:group w14:anchorId="1AEB3A31" id="Group 4" o:spid="_x0000_s1026" style="position:absolute;margin-left:0;margin-top:-.05pt;width:509.25pt;height:637.85pt;z-index:251659264" coordsize="64674,8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">
                <v:roundrect id="Rounded Rectangle 2" o:spid="_x0000_s1027" style="position:absolute;width:15621;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" fillcolor="#003e7e" strokecolor="#003e7e" strokeweight="1.5pt">
                  <v:stroke joinstyle="miter"/>
                  <v:textbox>
                    <w:txbxContent>
                      <w:p w14:paraId="3C2002F7" w14:textId="77777777" w:rsidR="00A14064" w:rsidRPr="007B66D3" w:rsidRDefault="00A14064" w:rsidP="00A14064">
                        <w:r w:rsidRPr="007B66D3">
                          <w:rPr>
                            <w:rFonts w:ascii="Rockwell" w:hAnsi="Rockwell" w:cs="Arial"/>
                            <w:color w:val="FFFFFF" w:themeColor="background1"/>
                          </w:rPr>
                          <w:t>Vision</w:t>
                        </w:r>
                        <w:r>
                          <w:rPr>
                            <w:rFonts w:ascii="Rockwell" w:hAnsi="Rockwell" w:cs="Arial"/>
                            <w:color w:val="FFFFFF" w:themeColor="background1"/>
                          </w:rPr>
                          <w:t xml:space="preserve"> and</w:t>
                        </w:r>
                        <w:r w:rsidRPr="007B66D3">
                          <w:rPr>
                            <w:rFonts w:ascii="Rockwell" w:hAnsi="Rockwell" w:cs="Arial"/>
                            <w:color w:val="FFFFFF" w:themeColor="background1"/>
                          </w:rPr>
                          <w:t xml:space="preserve"> </w:t>
                        </w:r>
                        <w:r>
                          <w:rPr>
                            <w:rFonts w:ascii="Rockwell" w:hAnsi="Rockwell" w:cs="Arial"/>
                            <w:color w:val="FFFFFF" w:themeColor="background1"/>
                          </w:rPr>
                          <w:t>s</w:t>
                        </w:r>
                        <w:r w:rsidRPr="007B66D3">
                          <w:rPr>
                            <w:rFonts w:ascii="Rockwell" w:hAnsi="Rockwell" w:cs="Arial"/>
                            <w:color w:val="FFFFFF" w:themeColor="background1"/>
                          </w:rPr>
                          <w:t xml:space="preserve">trategy </w:t>
                        </w:r>
                      </w:p>
                    </w:txbxContent>
                  </v:textbox>
                </v:roundrect>
                <v:roundrect id="Rounded Rectangle 3" o:spid="_x0000_s1028" style="position:absolute;left:15716;top:95;width:48958;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331E83B7" w14:textId="77777777" w:rsidR="00A14064" w:rsidRPr="00B51D22" w:rsidRDefault="00A14064" w:rsidP="00A14064">
                        <w:pPr>
                          <w:spacing w:line="247" w:lineRule="auto"/>
                          <w:contextualSpacing/>
                          <w:rPr>
                            <w:sz w:val="20"/>
                            <w:szCs w:val="20"/>
                          </w:rPr>
                        </w:pPr>
                        <w:r w:rsidRPr="00B51D22">
                          <w:rPr>
                            <w:rFonts w:ascii="Arial" w:hAnsi="Arial" w:cs="Arial"/>
                            <w:sz w:val="20"/>
                            <w:szCs w:val="20"/>
                          </w:rPr>
                          <w:t>Brook Learning Trust leaders are passionate about education and make a difference to young people, their families and the community. Our leaders articulate a clear and compelling vision underpinned by the moral purpose and values of BLT. They accept ambiguity, simplify complex issues, and use research and data to identify priorities and to support evidence-based action leading to improvement.</w:t>
                        </w:r>
                      </w:p>
                    </w:txbxContent>
                  </v:textbox>
                </v:roundrect>
                <v:roundrect id="Rounded Rectangle 11" o:spid="_x0000_s1029" style="position:absolute;left:95;top:10287;width:15621;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" fillcolor="#003e7e" strokecolor="#003e7e" strokeweight="1.5pt">
                  <v:stroke joinstyle="miter"/>
                  <v:textbox>
                    <w:txbxContent>
                      <w:p w14:paraId="34AFCFFC" w14:textId="77777777" w:rsidR="00A14064" w:rsidRPr="007B66D3" w:rsidRDefault="00A14064" w:rsidP="00A14064">
                        <w:r w:rsidRPr="00145EAD">
                          <w:rPr>
                            <w:rFonts w:ascii="Rockwell" w:hAnsi="Rockwell" w:cs="Arial"/>
                            <w:color w:val="FFFFFF" w:themeColor="background1"/>
                          </w:rPr>
                          <w:t>Impact, influence and inspiration</w:t>
                        </w:r>
                      </w:p>
                    </w:txbxContent>
                  </v:textbox>
                </v:roundrect>
                <v:roundrect id="Rounded Rectangle 13" o:spid="_x0000_s1030" style="position:absolute;left:95;top:61626;width:15621;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" fillcolor="#003e7e" strokecolor="#003e7e" strokeweight="1.5pt">
                  <v:stroke joinstyle="miter"/>
                  <v:textbox>
                    <w:txbxContent>
                      <w:p w14:paraId="57CABB7B"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Resilience, courage and personal drive</w:t>
                        </w:r>
                      </w:p>
                    </w:txbxContent>
                  </v:textbox>
                </v:roundrect>
                <v:roundrect id="Rounded Rectangle 14" o:spid="_x0000_s1031" style="position:absolute;left:95;top:51435;width:15621;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" fillcolor="#003e7e" strokecolor="#003e7e" strokeweight="1.5pt">
                  <v:stroke joinstyle="miter"/>
                  <v:textbox>
                    <w:txbxContent>
                      <w:p w14:paraId="17873BB9"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Facilitating positive change</w:t>
                        </w:r>
                      </w:p>
                    </w:txbxContent>
                  </v:textbox>
                </v:roundrect>
                <v:roundrect id="Rounded Rectangle 15" o:spid="_x0000_s1032" style="position:absolute;left:95;top:41148;width:15621;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" fillcolor="#003e7e" strokecolor="#003e7e" strokeweight="1.5pt">
                  <v:stroke joinstyle="miter"/>
                  <v:textbox>
                    <w:txbxContent>
                      <w:p w14:paraId="3A0ADA1C"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Collaboration</w:t>
                        </w:r>
                      </w:p>
                    </w:txbxContent>
                  </v:textbox>
                </v:roundrect>
                <v:roundrect id="Rounded Rectangle 16" o:spid="_x0000_s1033" style="position:absolute;left:95;top:72009;width:15621;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" fillcolor="#003e7e" strokecolor="#003e7e" strokeweight="1.5pt">
                  <v:stroke joinstyle="miter"/>
                  <v:textbox>
                    <w:txbxContent>
                      <w:p w14:paraId="4D5E3CF6"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Managing resources</w:t>
                        </w:r>
                      </w:p>
                    </w:txbxContent>
                  </v:textbox>
                </v:roundrect>
                <v:roundrect id="Rounded Rectangle 17" o:spid="_x0000_s1034" style="position:absolute;left:95;top:20574;width:15621;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" fillcolor="#003e7e" strokecolor="#003e7e" strokeweight="1.5pt">
                  <v:stroke joinstyle="miter"/>
                  <v:textbox>
                    <w:txbxContent>
                      <w:p w14:paraId="33558C93" w14:textId="77777777" w:rsidR="00A14064" w:rsidRPr="001752C0" w:rsidRDefault="00A14064" w:rsidP="00A14064">
                        <w:pPr>
                          <w:rPr>
                            <w:rFonts w:ascii="Rockwell" w:hAnsi="Rockwell" w:cs="Arial"/>
                            <w:color w:val="FFFFFF" w:themeColor="background1"/>
                          </w:rPr>
                        </w:pPr>
                        <w:r w:rsidRPr="001752C0">
                          <w:rPr>
                            <w:rFonts w:ascii="Rockwell" w:hAnsi="Rockwell" w:cs="Arial"/>
                            <w:color w:val="FFFFFF" w:themeColor="background1"/>
                          </w:rPr>
                          <w:t>Integrity</w:t>
                        </w:r>
                        <w:r w:rsidRPr="00145EAD">
                          <w:rPr>
                            <w:rFonts w:ascii="Rockwell" w:hAnsi="Rockwell" w:cs="Arial"/>
                            <w:color w:val="FFFFFF" w:themeColor="background1"/>
                          </w:rPr>
                          <w:t xml:space="preserve"> and respect</w:t>
                        </w:r>
                      </w:p>
                    </w:txbxContent>
                  </v:textbox>
                </v:roundrect>
                <v:roundrect id="Rounded Rectangle 18" o:spid="_x0000_s1035" style="position:absolute;left:95;top:30861;width:15621;height:9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" fillcolor="#003e7e" strokecolor="#003e7e" strokeweight="1.5pt">
                  <v:stroke joinstyle="miter"/>
                  <v:textbox>
                    <w:txbxContent>
                      <w:p w14:paraId="73FEA9C2" w14:textId="77777777" w:rsidR="00A14064" w:rsidRPr="001752C0" w:rsidRDefault="00A14064" w:rsidP="00A14064">
                        <w:pPr>
                          <w:rPr>
                            <w:rFonts w:ascii="Rockwell" w:hAnsi="Rockwell" w:cs="Arial"/>
                            <w:color w:val="FFFFFF" w:themeColor="background1"/>
                          </w:rPr>
                        </w:pPr>
                        <w:r w:rsidRPr="00145EAD">
                          <w:rPr>
                            <w:rFonts w:ascii="Rockwell" w:hAnsi="Rockwell" w:cs="Arial"/>
                            <w:color w:val="FFFFFF" w:themeColor="background1"/>
                          </w:rPr>
                          <w:t xml:space="preserve">Developing </w:t>
                        </w:r>
                        <w:r>
                          <w:rPr>
                            <w:rFonts w:ascii="Rockwell" w:hAnsi="Rockwell" w:cs="Arial"/>
                            <w:color w:val="FFFFFF" w:themeColor="background1"/>
                          </w:rPr>
                          <w:t>s</w:t>
                        </w:r>
                        <w:r w:rsidRPr="00145EAD">
                          <w:rPr>
                            <w:rFonts w:ascii="Rockwell" w:hAnsi="Rockwell" w:cs="Arial"/>
                            <w:color w:val="FFFFFF" w:themeColor="background1"/>
                          </w:rPr>
                          <w:t xml:space="preserve">elf </w:t>
                        </w:r>
                        <w:r>
                          <w:rPr>
                            <w:rFonts w:ascii="Rockwell" w:hAnsi="Rockwell" w:cs="Arial"/>
                            <w:color w:val="FFFFFF" w:themeColor="background1"/>
                          </w:rPr>
                          <w:t>and</w:t>
                        </w:r>
                        <w:r w:rsidRPr="00145EAD">
                          <w:rPr>
                            <w:rFonts w:ascii="Rockwell" w:hAnsi="Rockwell" w:cs="Arial"/>
                            <w:color w:val="FFFFFF" w:themeColor="background1"/>
                          </w:rPr>
                          <w:t xml:space="preserve"> </w:t>
                        </w:r>
                        <w:r>
                          <w:rPr>
                            <w:rFonts w:ascii="Rockwell" w:hAnsi="Rockwell" w:cs="Arial"/>
                            <w:color w:val="FFFFFF" w:themeColor="background1"/>
                          </w:rPr>
                          <w:t>o</w:t>
                        </w:r>
                        <w:r w:rsidRPr="00145EAD">
                          <w:rPr>
                            <w:rFonts w:ascii="Rockwell" w:hAnsi="Rockwell" w:cs="Arial"/>
                            <w:color w:val="FFFFFF" w:themeColor="background1"/>
                          </w:rPr>
                          <w:t>thers</w:t>
                        </w:r>
                      </w:p>
                    </w:txbxContent>
                  </v:textbox>
                </v:roundrect>
                <v:roundrect id="Rounded Rectangle 19" o:spid="_x0000_s1036" style="position:absolute;left:15716;top:72009;width:48958;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0BC366D3"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holds others to account, challenge systems that do not add value and </w:t>
                        </w:r>
                        <w:proofErr w:type="spellStart"/>
                        <w:r w:rsidRPr="00B51D22">
                          <w:rPr>
                            <w:rFonts w:ascii="Arial" w:hAnsi="Arial" w:cs="Arial"/>
                            <w:sz w:val="20"/>
                            <w:szCs w:val="20"/>
                          </w:rPr>
                          <w:t>minimise</w:t>
                        </w:r>
                        <w:proofErr w:type="spellEnd"/>
                        <w:r w:rsidRPr="00B51D22">
                          <w:rPr>
                            <w:rFonts w:ascii="Arial" w:hAnsi="Arial" w:cs="Arial"/>
                            <w:sz w:val="20"/>
                            <w:szCs w:val="20"/>
                          </w:rPr>
                          <w:t xml:space="preserve"> waste and unnecessary duplication. Our leaders are efficient, ensuring provision and services are delivered within the allocated resource and accurately forecasting resources required. They manage and deploy capacity to </w:t>
                        </w:r>
                        <w:proofErr w:type="spellStart"/>
                        <w:r w:rsidRPr="00B51D22">
                          <w:rPr>
                            <w:rFonts w:ascii="Arial" w:hAnsi="Arial" w:cs="Arial"/>
                            <w:sz w:val="20"/>
                            <w:szCs w:val="20"/>
                          </w:rPr>
                          <w:t>maximise</w:t>
                        </w:r>
                        <w:proofErr w:type="spellEnd"/>
                        <w:r w:rsidRPr="00B51D22">
                          <w:rPr>
                            <w:rFonts w:ascii="Arial" w:hAnsi="Arial" w:cs="Arial"/>
                            <w:sz w:val="20"/>
                            <w:szCs w:val="20"/>
                          </w:rPr>
                          <w:t xml:space="preserve"> student achievement.</w:t>
                        </w:r>
                      </w:p>
                    </w:txbxContent>
                  </v:textbox>
                </v:roundrect>
                <v:roundrect id="Rounded Rectangle 20" o:spid="_x0000_s1037" style="position:absolute;left:15716;top:61722;width:48958;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624C5D21"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Brook Learning Trust leaders remain courageous and positive in adverse or uncertain circumstances. Our leaders are self-driven, act deftly to anticipate events and take a creative, solution focused approach to challenges. They are disciplined, remain focused and recover quickly from setbacks.</w:t>
                        </w:r>
                      </w:p>
                    </w:txbxContent>
                  </v:textbox>
                </v:roundrect>
                <v:roundrect id="Rounded Rectangle 21" o:spid="_x0000_s1038" style="position:absolute;left:15716;top:10191;width:48958;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269DA8D6"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driven by passion and purpose, inspire others and have a positive and enduring influence. Our leaders motivate and </w:t>
                        </w:r>
                        <w:proofErr w:type="spellStart"/>
                        <w:r w:rsidRPr="00B51D22">
                          <w:rPr>
                            <w:rFonts w:ascii="Arial" w:hAnsi="Arial" w:cs="Arial"/>
                            <w:sz w:val="20"/>
                            <w:szCs w:val="20"/>
                          </w:rPr>
                          <w:t>energise</w:t>
                        </w:r>
                        <w:proofErr w:type="spellEnd"/>
                        <w:r w:rsidRPr="00B51D22">
                          <w:rPr>
                            <w:rFonts w:ascii="Arial" w:hAnsi="Arial" w:cs="Arial"/>
                            <w:sz w:val="20"/>
                            <w:szCs w:val="20"/>
                          </w:rPr>
                          <w:t xml:space="preserve"> through their expression of high expectation, by investing in colleagues, and by </w:t>
                        </w:r>
                        <w:proofErr w:type="spellStart"/>
                        <w:r w:rsidRPr="00B51D22">
                          <w:rPr>
                            <w:rFonts w:ascii="Arial" w:hAnsi="Arial" w:cs="Arial"/>
                            <w:sz w:val="20"/>
                            <w:szCs w:val="20"/>
                          </w:rPr>
                          <w:t>recognising</w:t>
                        </w:r>
                        <w:proofErr w:type="spellEnd"/>
                        <w:r w:rsidRPr="00B51D22">
                          <w:rPr>
                            <w:rFonts w:ascii="Arial" w:hAnsi="Arial" w:cs="Arial"/>
                            <w:sz w:val="20"/>
                            <w:szCs w:val="20"/>
                          </w:rPr>
                          <w:t xml:space="preserve"> others’ achievements. They demonstrate clarity in communication, listen with attention and gain buy-in from their teams.</w:t>
                        </w:r>
                      </w:p>
                    </w:txbxContent>
                  </v:textbox>
                </v:roundrect>
                <v:roundrect id="Rounded Rectangle 22" o:spid="_x0000_s1039" style="position:absolute;left:15716;top:51339;width:48958;height:89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0962D829"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see situations with clarity and engage in reflective practice to inform meaningful change. Our leaders translate strategic objectives into workable plans that identify risk, critical success factors and measures for evaluation. They understand the theory of change implementation, </w:t>
                        </w:r>
                        <w:proofErr w:type="spellStart"/>
                        <w:r w:rsidRPr="00B51D22">
                          <w:rPr>
                            <w:rFonts w:ascii="Arial" w:hAnsi="Arial" w:cs="Arial"/>
                            <w:sz w:val="20"/>
                            <w:szCs w:val="20"/>
                          </w:rPr>
                          <w:t>recognising</w:t>
                        </w:r>
                        <w:proofErr w:type="spellEnd"/>
                        <w:r w:rsidRPr="00B51D22">
                          <w:rPr>
                            <w:rFonts w:ascii="Arial" w:hAnsi="Arial" w:cs="Arial"/>
                            <w:sz w:val="20"/>
                            <w:szCs w:val="20"/>
                          </w:rPr>
                          <w:t xml:space="preserve"> implementation as a process that requires time.</w:t>
                        </w:r>
                      </w:p>
                    </w:txbxContent>
                  </v:textbox>
                </v:roundrect>
                <v:roundrect id="Rounded Rectangle 23" o:spid="_x0000_s1040" style="position:absolute;left:15716;top:30861;width:48958;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300B5C23" w14:textId="77777777" w:rsidR="00A14064" w:rsidRPr="009E2C4F" w:rsidRDefault="00A14064" w:rsidP="00A14064">
                        <w:pPr>
                          <w:spacing w:line="247" w:lineRule="auto"/>
                          <w:contextualSpacing/>
                          <w:rPr>
                            <w:rFonts w:ascii="Arial" w:hAnsi="Arial" w:cs="Arial"/>
                            <w:color w:val="003E7E"/>
                            <w:sz w:val="20"/>
                            <w:szCs w:val="20"/>
                          </w:rPr>
                        </w:pPr>
                        <w:r w:rsidRPr="00B51D22">
                          <w:rPr>
                            <w:rFonts w:ascii="Arial" w:hAnsi="Arial" w:cs="Arial"/>
                            <w:sz w:val="20"/>
                            <w:szCs w:val="20"/>
                          </w:rPr>
                          <w:t xml:space="preserve">Brook Learning Trust leaders are self-aware, reflective and seek to develop professionally by challenging their own performance. Our leaders </w:t>
                        </w:r>
                        <w:proofErr w:type="spellStart"/>
                        <w:r w:rsidRPr="00B51D22">
                          <w:rPr>
                            <w:rFonts w:ascii="Arial" w:hAnsi="Arial" w:cs="Arial"/>
                            <w:sz w:val="20"/>
                            <w:szCs w:val="20"/>
                          </w:rPr>
                          <w:t>practise</w:t>
                        </w:r>
                        <w:proofErr w:type="spellEnd"/>
                        <w:r w:rsidRPr="00B51D22">
                          <w:rPr>
                            <w:rFonts w:ascii="Arial" w:hAnsi="Arial" w:cs="Arial"/>
                            <w:sz w:val="20"/>
                            <w:szCs w:val="20"/>
                          </w:rPr>
                          <w:t xml:space="preserve"> well-being and facilitate the well-being of others.  They embrace the BLT CPG approach, coach and empower others, nurture talent and take action both to improve performance and celebrate success</w:t>
                        </w:r>
                        <w:r>
                          <w:rPr>
                            <w:rFonts w:ascii="Arial" w:hAnsi="Arial" w:cs="Arial"/>
                            <w:color w:val="003E7E"/>
                            <w:sz w:val="20"/>
                            <w:szCs w:val="20"/>
                          </w:rPr>
                          <w:t>.</w:t>
                        </w:r>
                      </w:p>
                    </w:txbxContent>
                  </v:textbox>
                </v:roundrect>
                <v:roundrect id="Rounded Rectangle 24" o:spid="_x0000_s1041" style="position:absolute;left:15716;top:20574;width:48958;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3EDA69E1"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are authentic. Our leaders demonstrate a high standard of professional </w:t>
                        </w:r>
                        <w:proofErr w:type="spellStart"/>
                        <w:r w:rsidRPr="00B51D22">
                          <w:rPr>
                            <w:rFonts w:ascii="Arial" w:hAnsi="Arial" w:cs="Arial"/>
                            <w:sz w:val="20"/>
                            <w:szCs w:val="20"/>
                          </w:rPr>
                          <w:t>behaviour</w:t>
                        </w:r>
                        <w:proofErr w:type="spellEnd"/>
                        <w:r w:rsidRPr="00B51D22">
                          <w:rPr>
                            <w:rFonts w:ascii="Arial" w:hAnsi="Arial" w:cs="Arial"/>
                            <w:sz w:val="20"/>
                            <w:szCs w:val="20"/>
                          </w:rPr>
                          <w:t xml:space="preserve"> and regard for others, treat everyone with respect and work to resolve conflict in a fair and just way. They model moral and ethical principles and integrity is the foundation of their practice.</w:t>
                        </w:r>
                      </w:p>
                    </w:txbxContent>
                  </v:textbox>
                </v:roundrect>
                <v:roundrect id="Rounded Rectangle 25" o:spid="_x0000_s1042" style="position:absolute;left:15716;top:41148;width:48958;height:89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" fillcolor="#f6f8fc" strokecolor="#003e7e" strokeweight="1pt">
                  <v:fill color2="#e5ebf7" rotate="t" angle="270" colors="0 #f6f8fc;21627f #c2d1ec;40632f #aabfe4;63570f #e5ebf7" focus="100%" type="gradient">
                    <o:fill v:ext="view" type="gradientUnscaled"/>
                  </v:fill>
                  <v:stroke joinstyle="miter"/>
                  <v:textbox inset="1mm,.3mm,1mm,.3mm">
                    <w:txbxContent>
                      <w:p w14:paraId="5C1CBB4C" w14:textId="77777777" w:rsidR="00A14064" w:rsidRPr="00B51D22" w:rsidRDefault="00A14064" w:rsidP="00A14064">
                        <w:pPr>
                          <w:spacing w:line="247" w:lineRule="auto"/>
                          <w:contextualSpacing/>
                          <w:rPr>
                            <w:rFonts w:ascii="Arial" w:hAnsi="Arial" w:cs="Arial"/>
                            <w:sz w:val="20"/>
                            <w:szCs w:val="20"/>
                          </w:rPr>
                        </w:pPr>
                        <w:r w:rsidRPr="00B51D22">
                          <w:rPr>
                            <w:rFonts w:ascii="Arial" w:hAnsi="Arial" w:cs="Arial"/>
                            <w:sz w:val="20"/>
                            <w:szCs w:val="20"/>
                          </w:rPr>
                          <w:t xml:space="preserve">Brook Learning Trust leaders develop and sustain trusting, effective working relationships to secure genuine collaboration. Our leaders apply systems thinking, understand that the work of one affects the work of all and display flexibility of mind, entertaining the possibility of being wrong. They play a central role in the development of the </w:t>
                        </w:r>
                        <w:proofErr w:type="spellStart"/>
                        <w:r w:rsidRPr="00B51D22">
                          <w:rPr>
                            <w:rFonts w:ascii="Arial" w:hAnsi="Arial" w:cs="Arial"/>
                            <w:sz w:val="20"/>
                            <w:szCs w:val="20"/>
                          </w:rPr>
                          <w:t>organisation</w:t>
                        </w:r>
                        <w:proofErr w:type="spellEnd"/>
                        <w:r w:rsidRPr="00B51D22">
                          <w:rPr>
                            <w:rFonts w:ascii="Arial" w:hAnsi="Arial" w:cs="Arial"/>
                            <w:sz w:val="20"/>
                            <w:szCs w:val="20"/>
                          </w:rPr>
                          <w:t>.</w:t>
                        </w:r>
                      </w:p>
                    </w:txbxContent>
                  </v:textbox>
                </v:roundrect>
              </v:group>
            </w:pict>
          </mc:Fallback>
        </mc:AlternateContent>
      </w:r>
    </w:p>
    <w:sectPr w:rsidR="007968A9" w:rsidRPr="00A14064" w:rsidSect="00DD6187">
      <w:headerReference w:type="default" r:id="rId7"/>
      <w:pgSz w:w="11906" w:h="16838"/>
      <w:pgMar w:top="1440" w:right="991"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6C2A" w14:textId="77777777" w:rsidR="00587104" w:rsidRDefault="00587104" w:rsidP="00587104">
      <w:r>
        <w:separator/>
      </w:r>
    </w:p>
  </w:endnote>
  <w:endnote w:type="continuationSeparator" w:id="0">
    <w:p w14:paraId="65362D0D" w14:textId="77777777" w:rsidR="00587104" w:rsidRDefault="00587104" w:rsidP="0058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0946" w14:textId="77777777" w:rsidR="00587104" w:rsidRDefault="00587104" w:rsidP="00587104">
      <w:r>
        <w:separator/>
      </w:r>
    </w:p>
  </w:footnote>
  <w:footnote w:type="continuationSeparator" w:id="0">
    <w:p w14:paraId="22A055A2" w14:textId="77777777" w:rsidR="00587104" w:rsidRDefault="00587104" w:rsidP="00587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DCC2" w14:textId="7D929418" w:rsidR="00B229B0" w:rsidRDefault="00597621">
    <w:pPr>
      <w:pStyle w:val="Header"/>
    </w:pPr>
    <w:r w:rsidRPr="00616FFD">
      <w:rPr>
        <w:noProof/>
        <w:lang w:val="en-GB" w:eastAsia="en-GB"/>
      </w:rPr>
      <w:drawing>
        <wp:anchor distT="0" distB="0" distL="114300" distR="114300" simplePos="0" relativeHeight="251660288" behindDoc="0" locked="0" layoutInCell="1" allowOverlap="1" wp14:anchorId="35624BD6" wp14:editId="7B484AC9">
          <wp:simplePos x="0" y="0"/>
          <wp:positionH relativeFrom="margin">
            <wp:align>left</wp:align>
          </wp:positionH>
          <wp:positionV relativeFrom="paragraph">
            <wp:posOffset>-11429</wp:posOffset>
          </wp:positionV>
          <wp:extent cx="819150" cy="819150"/>
          <wp:effectExtent l="0" t="0" r="0" b="0"/>
          <wp:wrapNone/>
          <wp:docPr id="9" name="Picture 9" descr="R:\BLT-HR\Template letters and documents\Logo Templates\HBK Logo 2016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LT-HR\Template letters and documents\Logo Templates\HBK Logo 2016 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7487C55D" wp14:editId="25A5E41B">
          <wp:simplePos x="0" y="0"/>
          <wp:positionH relativeFrom="margin">
            <wp:align>right</wp:align>
          </wp:positionH>
          <wp:positionV relativeFrom="paragraph">
            <wp:posOffset>7620</wp:posOffset>
          </wp:positionV>
          <wp:extent cx="1323975" cy="725589"/>
          <wp:effectExtent l="0" t="0" r="0" b="0"/>
          <wp:wrapNone/>
          <wp:docPr id="10" name="Picture 10" descr="B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T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3975" cy="7255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0591E" w14:textId="06AAE579" w:rsidR="00587104" w:rsidRPr="00DD6187" w:rsidRDefault="00B229B0">
    <w:pPr>
      <w:pStyle w:val="Header"/>
      <w:rPr>
        <w:rFonts w:cstheme="minorHAnsi"/>
      </w:rPr>
    </w:pPr>
    <w:r>
      <w:tab/>
    </w:r>
    <w:r w:rsidR="00DD6187">
      <w:t xml:space="preserve">              </w:t>
    </w:r>
    <w:r w:rsidR="00A14064">
      <w:rPr>
        <w:rFonts w:cstheme="minorHAnsi"/>
        <w:b/>
        <w:sz w:val="36"/>
        <w:szCs w:val="36"/>
      </w:rPr>
      <w:t>BROOK LEARNING TRUST</w:t>
    </w:r>
  </w:p>
  <w:p w14:paraId="6DF47D3D" w14:textId="4FDFC786" w:rsidR="00B229B0" w:rsidRPr="00DD6187" w:rsidRDefault="00B229B0" w:rsidP="00B229B0">
    <w:pPr>
      <w:shd w:val="clear" w:color="auto" w:fill="FFFFFF"/>
      <w:spacing w:before="150"/>
      <w:outlineLvl w:val="1"/>
      <w:rPr>
        <w:rFonts w:eastAsia="Times New Roman" w:cstheme="minorHAnsi"/>
        <w:iCs/>
        <w:sz w:val="36"/>
        <w:szCs w:val="36"/>
        <w:lang w:eastAsia="en-GB"/>
      </w:rPr>
    </w:pPr>
    <w:r w:rsidRPr="00DD6187">
      <w:rPr>
        <w:rFonts w:eastAsia="Times New Roman" w:cstheme="minorHAnsi"/>
        <w:b/>
        <w:bCs/>
        <w:iCs/>
        <w:sz w:val="36"/>
        <w:szCs w:val="36"/>
        <w:lang w:eastAsia="en-GB"/>
      </w:rPr>
      <w:t xml:space="preserve">                 </w:t>
    </w:r>
    <w:r w:rsidR="00DD6187">
      <w:rPr>
        <w:rFonts w:eastAsia="Times New Roman" w:cstheme="minorHAnsi"/>
        <w:b/>
        <w:bCs/>
        <w:iCs/>
        <w:sz w:val="36"/>
        <w:szCs w:val="36"/>
        <w:lang w:eastAsia="en-GB"/>
      </w:rPr>
      <w:t xml:space="preserve">          </w:t>
    </w:r>
    <w:r w:rsidR="00A14064">
      <w:rPr>
        <w:rFonts w:eastAsia="Times New Roman" w:cstheme="minorHAnsi"/>
        <w:b/>
        <w:bCs/>
        <w:iCs/>
        <w:sz w:val="36"/>
        <w:szCs w:val="36"/>
        <w:lang w:eastAsia="en-GB"/>
      </w:rPr>
      <w:t xml:space="preserve">               Leadership Qualities</w:t>
    </w:r>
  </w:p>
  <w:p w14:paraId="236A6BAD" w14:textId="7EE62242" w:rsidR="00587104" w:rsidRPr="009E3A23" w:rsidRDefault="00587104" w:rsidP="00587104">
    <w:pPr>
      <w:pBdr>
        <w:bottom w:val="single" w:sz="12" w:space="1" w:color="auto"/>
      </w:pBdr>
      <w:jc w:val="both"/>
      <w:rPr>
        <w:rFonts w:cs="Arial"/>
      </w:rPr>
    </w:pPr>
  </w:p>
  <w:p w14:paraId="3E07F7D3" w14:textId="6CBB534A" w:rsidR="00587104" w:rsidRDefault="005871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921"/>
    <w:multiLevelType w:val="hybridMultilevel"/>
    <w:tmpl w:val="409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45C09"/>
    <w:multiLevelType w:val="multilevel"/>
    <w:tmpl w:val="41A8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B1F02"/>
    <w:multiLevelType w:val="hybridMultilevel"/>
    <w:tmpl w:val="A58C7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B716B"/>
    <w:multiLevelType w:val="hybridMultilevel"/>
    <w:tmpl w:val="BA34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A5B35"/>
    <w:multiLevelType w:val="hybridMultilevel"/>
    <w:tmpl w:val="9148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24F55"/>
    <w:multiLevelType w:val="multilevel"/>
    <w:tmpl w:val="4DDC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62A56"/>
    <w:multiLevelType w:val="multilevel"/>
    <w:tmpl w:val="AAC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B010BC"/>
    <w:multiLevelType w:val="hybridMultilevel"/>
    <w:tmpl w:val="69627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276B0"/>
    <w:multiLevelType w:val="multilevel"/>
    <w:tmpl w:val="43B8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16E60"/>
    <w:multiLevelType w:val="hybridMultilevel"/>
    <w:tmpl w:val="6E90F11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C4F00"/>
    <w:multiLevelType w:val="hybridMultilevel"/>
    <w:tmpl w:val="D57800D4"/>
    <w:lvl w:ilvl="0" w:tplc="08090001">
      <w:start w:val="1"/>
      <w:numFmt w:val="bullet"/>
      <w:lvlText w:val=""/>
      <w:lvlJc w:val="left"/>
      <w:pPr>
        <w:ind w:left="9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DF45D52"/>
    <w:multiLevelType w:val="hybridMultilevel"/>
    <w:tmpl w:val="9D3C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11"/>
  </w:num>
  <w:num w:numId="6">
    <w:abstractNumId w:val="7"/>
  </w:num>
  <w:num w:numId="7">
    <w:abstractNumId w:val="0"/>
  </w:num>
  <w:num w:numId="8">
    <w:abstractNumId w:val="2"/>
  </w:num>
  <w:num w:numId="9">
    <w:abstractNumId w:val="9"/>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4E"/>
    <w:rsid w:val="000122A4"/>
    <w:rsid w:val="00082345"/>
    <w:rsid w:val="000A55FC"/>
    <w:rsid w:val="000B6237"/>
    <w:rsid w:val="002554BB"/>
    <w:rsid w:val="00287E57"/>
    <w:rsid w:val="003C7E65"/>
    <w:rsid w:val="003F3E44"/>
    <w:rsid w:val="004B474E"/>
    <w:rsid w:val="00587104"/>
    <w:rsid w:val="00597621"/>
    <w:rsid w:val="007968A9"/>
    <w:rsid w:val="00797745"/>
    <w:rsid w:val="007C487F"/>
    <w:rsid w:val="007D0D1B"/>
    <w:rsid w:val="007F044A"/>
    <w:rsid w:val="00885613"/>
    <w:rsid w:val="00933A88"/>
    <w:rsid w:val="009946DA"/>
    <w:rsid w:val="00994A06"/>
    <w:rsid w:val="00A14064"/>
    <w:rsid w:val="00A91361"/>
    <w:rsid w:val="00B229B0"/>
    <w:rsid w:val="00B95AF8"/>
    <w:rsid w:val="00C509DC"/>
    <w:rsid w:val="00CB024B"/>
    <w:rsid w:val="00CD3D02"/>
    <w:rsid w:val="00D15140"/>
    <w:rsid w:val="00DB0C13"/>
    <w:rsid w:val="00DD6187"/>
    <w:rsid w:val="00E05558"/>
    <w:rsid w:val="00E3030F"/>
    <w:rsid w:val="00E52321"/>
    <w:rsid w:val="00E630A8"/>
    <w:rsid w:val="00F23B39"/>
    <w:rsid w:val="00FC5F80"/>
    <w:rsid w:val="00FE4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C95E5"/>
  <w15:chartTrackingRefBased/>
  <w15:docId w15:val="{E69EDF5F-EDAC-42B3-8F17-E2D4486E8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187"/>
    <w:pPr>
      <w:spacing w:after="0" w:line="240" w:lineRule="auto"/>
    </w:pPr>
    <w:rPr>
      <w:sz w:val="24"/>
      <w:szCs w:val="24"/>
      <w:lang w:val="en-US"/>
    </w:rPr>
  </w:style>
  <w:style w:type="paragraph" w:styleId="Heading1">
    <w:name w:val="heading 1"/>
    <w:basedOn w:val="Normal"/>
    <w:link w:val="Heading1Char"/>
    <w:uiPriority w:val="9"/>
    <w:qFormat/>
    <w:rsid w:val="004B474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B474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6">
    <w:name w:val="heading 6"/>
    <w:basedOn w:val="Normal"/>
    <w:link w:val="Heading6Char"/>
    <w:uiPriority w:val="9"/>
    <w:qFormat/>
    <w:rsid w:val="004B474E"/>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4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B474E"/>
    <w:rPr>
      <w:rFonts w:ascii="Times New Roman" w:eastAsia="Times New Roman" w:hAnsi="Times New Roman" w:cs="Times New Roman"/>
      <w:b/>
      <w:bCs/>
      <w:sz w:val="36"/>
      <w:szCs w:val="36"/>
      <w:lang w:eastAsia="en-GB"/>
    </w:rPr>
  </w:style>
  <w:style w:type="character" w:customStyle="1" w:styleId="Heading6Char">
    <w:name w:val="Heading 6 Char"/>
    <w:basedOn w:val="DefaultParagraphFont"/>
    <w:link w:val="Heading6"/>
    <w:uiPriority w:val="9"/>
    <w:rsid w:val="004B474E"/>
    <w:rPr>
      <w:rFonts w:ascii="Times New Roman" w:eastAsia="Times New Roman" w:hAnsi="Times New Roman" w:cs="Times New Roman"/>
      <w:b/>
      <w:bCs/>
      <w:sz w:val="15"/>
      <w:szCs w:val="15"/>
      <w:lang w:eastAsia="en-GB"/>
    </w:rPr>
  </w:style>
  <w:style w:type="character" w:customStyle="1" w:styleId="apple-converted-space">
    <w:name w:val="apple-converted-space"/>
    <w:basedOn w:val="DefaultParagraphFont"/>
    <w:rsid w:val="004B474E"/>
  </w:style>
  <w:style w:type="character" w:styleId="Hyperlink">
    <w:name w:val="Hyperlink"/>
    <w:basedOn w:val="DefaultParagraphFont"/>
    <w:uiPriority w:val="99"/>
    <w:unhideWhenUsed/>
    <w:rsid w:val="004B474E"/>
    <w:rPr>
      <w:color w:val="0000FF"/>
      <w:u w:val="single"/>
    </w:rPr>
  </w:style>
  <w:style w:type="character" w:styleId="Strong">
    <w:name w:val="Strong"/>
    <w:basedOn w:val="DefaultParagraphFont"/>
    <w:uiPriority w:val="22"/>
    <w:qFormat/>
    <w:rsid w:val="004B474E"/>
    <w:rPr>
      <w:b/>
      <w:bCs/>
    </w:rPr>
  </w:style>
  <w:style w:type="paragraph" w:styleId="NormalWeb">
    <w:name w:val="Normal (Web)"/>
    <w:basedOn w:val="Normal"/>
    <w:uiPriority w:val="99"/>
    <w:semiHidden/>
    <w:unhideWhenUsed/>
    <w:rsid w:val="004B474E"/>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B474E"/>
    <w:rPr>
      <w:i/>
      <w:iCs/>
    </w:rPr>
  </w:style>
  <w:style w:type="character" w:styleId="CommentReference">
    <w:name w:val="annotation reference"/>
    <w:basedOn w:val="DefaultParagraphFont"/>
    <w:uiPriority w:val="99"/>
    <w:semiHidden/>
    <w:unhideWhenUsed/>
    <w:rsid w:val="009946DA"/>
    <w:rPr>
      <w:sz w:val="16"/>
      <w:szCs w:val="16"/>
    </w:rPr>
  </w:style>
  <w:style w:type="paragraph" w:styleId="CommentText">
    <w:name w:val="annotation text"/>
    <w:basedOn w:val="Normal"/>
    <w:link w:val="CommentTextChar"/>
    <w:uiPriority w:val="99"/>
    <w:semiHidden/>
    <w:unhideWhenUsed/>
    <w:rsid w:val="009946DA"/>
    <w:rPr>
      <w:sz w:val="20"/>
      <w:szCs w:val="20"/>
    </w:rPr>
  </w:style>
  <w:style w:type="character" w:customStyle="1" w:styleId="CommentTextChar">
    <w:name w:val="Comment Text Char"/>
    <w:basedOn w:val="DefaultParagraphFont"/>
    <w:link w:val="CommentText"/>
    <w:uiPriority w:val="99"/>
    <w:semiHidden/>
    <w:rsid w:val="009946DA"/>
    <w:rPr>
      <w:sz w:val="20"/>
      <w:szCs w:val="20"/>
    </w:rPr>
  </w:style>
  <w:style w:type="paragraph" w:styleId="CommentSubject">
    <w:name w:val="annotation subject"/>
    <w:basedOn w:val="CommentText"/>
    <w:next w:val="CommentText"/>
    <w:link w:val="CommentSubjectChar"/>
    <w:uiPriority w:val="99"/>
    <w:semiHidden/>
    <w:unhideWhenUsed/>
    <w:rsid w:val="009946DA"/>
    <w:rPr>
      <w:b/>
      <w:bCs/>
    </w:rPr>
  </w:style>
  <w:style w:type="character" w:customStyle="1" w:styleId="CommentSubjectChar">
    <w:name w:val="Comment Subject Char"/>
    <w:basedOn w:val="CommentTextChar"/>
    <w:link w:val="CommentSubject"/>
    <w:uiPriority w:val="99"/>
    <w:semiHidden/>
    <w:rsid w:val="009946DA"/>
    <w:rPr>
      <w:b/>
      <w:bCs/>
      <w:sz w:val="20"/>
      <w:szCs w:val="20"/>
    </w:rPr>
  </w:style>
  <w:style w:type="paragraph" w:styleId="BalloonText">
    <w:name w:val="Balloon Text"/>
    <w:basedOn w:val="Normal"/>
    <w:link w:val="BalloonTextChar"/>
    <w:uiPriority w:val="99"/>
    <w:semiHidden/>
    <w:unhideWhenUsed/>
    <w:rsid w:val="00994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DA"/>
    <w:rPr>
      <w:rFonts w:ascii="Segoe UI" w:hAnsi="Segoe UI" w:cs="Segoe UI"/>
      <w:sz w:val="18"/>
      <w:szCs w:val="18"/>
    </w:rPr>
  </w:style>
  <w:style w:type="paragraph" w:styleId="Header">
    <w:name w:val="header"/>
    <w:basedOn w:val="Normal"/>
    <w:link w:val="HeaderChar"/>
    <w:uiPriority w:val="99"/>
    <w:unhideWhenUsed/>
    <w:rsid w:val="00587104"/>
    <w:pPr>
      <w:tabs>
        <w:tab w:val="center" w:pos="4513"/>
        <w:tab w:val="right" w:pos="9026"/>
      </w:tabs>
    </w:pPr>
  </w:style>
  <w:style w:type="character" w:customStyle="1" w:styleId="HeaderChar">
    <w:name w:val="Header Char"/>
    <w:basedOn w:val="DefaultParagraphFont"/>
    <w:link w:val="Header"/>
    <w:uiPriority w:val="99"/>
    <w:rsid w:val="00587104"/>
  </w:style>
  <w:style w:type="paragraph" w:styleId="Footer">
    <w:name w:val="footer"/>
    <w:basedOn w:val="Normal"/>
    <w:link w:val="FooterChar"/>
    <w:uiPriority w:val="99"/>
    <w:unhideWhenUsed/>
    <w:rsid w:val="00587104"/>
    <w:pPr>
      <w:tabs>
        <w:tab w:val="center" w:pos="4513"/>
        <w:tab w:val="right" w:pos="9026"/>
      </w:tabs>
    </w:pPr>
  </w:style>
  <w:style w:type="character" w:customStyle="1" w:styleId="FooterChar">
    <w:name w:val="Footer Char"/>
    <w:basedOn w:val="DefaultParagraphFont"/>
    <w:link w:val="Footer"/>
    <w:uiPriority w:val="99"/>
    <w:rsid w:val="00587104"/>
  </w:style>
  <w:style w:type="paragraph" w:styleId="ListParagraph">
    <w:name w:val="List Paragraph"/>
    <w:basedOn w:val="Normal"/>
    <w:uiPriority w:val="34"/>
    <w:qFormat/>
    <w:rsid w:val="00DD6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1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High Weald Academy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dc:creator>
  <cp:keywords/>
  <dc:description/>
  <cp:lastModifiedBy>Windows User</cp:lastModifiedBy>
  <cp:revision>3</cp:revision>
  <cp:lastPrinted>2020-02-03T13:39:00Z</cp:lastPrinted>
  <dcterms:created xsi:type="dcterms:W3CDTF">2020-02-10T09:26:00Z</dcterms:created>
  <dcterms:modified xsi:type="dcterms:W3CDTF">2020-02-10T09:37:00Z</dcterms:modified>
</cp:coreProperties>
</file>