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9" w:type="dxa"/>
        <w:tblInd w:w="-10" w:type="dxa"/>
        <w:tblLayout w:type="fixed"/>
        <w:tblLook w:val="0000" w:firstRow="0" w:lastRow="0" w:firstColumn="0" w:lastColumn="0" w:noHBand="0" w:noVBand="0"/>
      </w:tblPr>
      <w:tblGrid>
        <w:gridCol w:w="2088"/>
        <w:gridCol w:w="7131"/>
      </w:tblGrid>
      <w:tr w:rsidR="0014005A" w:rsidRPr="0014005A" w:rsidTr="0014005A">
        <w:tc>
          <w:tcPr>
            <w:tcW w:w="2088" w:type="dxa"/>
            <w:tcBorders>
              <w:top w:val="single" w:sz="4" w:space="0" w:color="000000"/>
              <w:left w:val="single" w:sz="4" w:space="0" w:color="000000"/>
              <w:bottom w:val="single" w:sz="4" w:space="0" w:color="000000"/>
            </w:tcBorders>
          </w:tcPr>
          <w:p w:rsidR="0014005A" w:rsidRDefault="0014005A" w:rsidP="00564D76">
            <w:pPr>
              <w:snapToGrid w:val="0"/>
              <w:spacing w:after="0"/>
              <w:rPr>
                <w:sz w:val="22"/>
                <w:szCs w:val="22"/>
              </w:rPr>
            </w:pPr>
            <w:r w:rsidRPr="0014005A">
              <w:rPr>
                <w:sz w:val="22"/>
                <w:szCs w:val="22"/>
              </w:rPr>
              <w:tab/>
            </w:r>
          </w:p>
          <w:p w:rsidR="00564D76" w:rsidRPr="0014005A" w:rsidRDefault="00564D76" w:rsidP="00564D76">
            <w:pPr>
              <w:snapToGrid w:val="0"/>
              <w:spacing w:after="0"/>
              <w:rPr>
                <w:sz w:val="22"/>
                <w:szCs w:val="22"/>
              </w:rPr>
            </w:pPr>
            <w:r>
              <w:rPr>
                <w:sz w:val="22"/>
                <w:szCs w:val="22"/>
              </w:rPr>
              <w:t>Post</w:t>
            </w:r>
          </w:p>
        </w:tc>
        <w:tc>
          <w:tcPr>
            <w:tcW w:w="7131" w:type="dxa"/>
            <w:tcBorders>
              <w:top w:val="single" w:sz="4" w:space="0" w:color="000000"/>
              <w:left w:val="single" w:sz="4" w:space="0" w:color="000000"/>
              <w:bottom w:val="single" w:sz="4" w:space="0" w:color="000000"/>
              <w:right w:val="single" w:sz="4" w:space="0" w:color="000000"/>
            </w:tcBorders>
          </w:tcPr>
          <w:p w:rsidR="00564D76" w:rsidRDefault="00564D76" w:rsidP="00564D76">
            <w:pPr>
              <w:snapToGrid w:val="0"/>
              <w:spacing w:after="0"/>
              <w:rPr>
                <w:b/>
                <w:bCs/>
                <w:sz w:val="22"/>
                <w:szCs w:val="22"/>
              </w:rPr>
            </w:pPr>
          </w:p>
          <w:p w:rsidR="0014005A" w:rsidRDefault="0014005A" w:rsidP="00564D76">
            <w:pPr>
              <w:snapToGrid w:val="0"/>
              <w:spacing w:after="0"/>
              <w:rPr>
                <w:b/>
                <w:bCs/>
                <w:sz w:val="22"/>
                <w:szCs w:val="22"/>
              </w:rPr>
            </w:pPr>
            <w:r w:rsidRPr="0014005A">
              <w:rPr>
                <w:b/>
                <w:bCs/>
                <w:sz w:val="22"/>
                <w:szCs w:val="22"/>
              </w:rPr>
              <w:t>Graduate Learning Assistants</w:t>
            </w:r>
            <w:r w:rsidR="00DC28F1">
              <w:rPr>
                <w:b/>
                <w:bCs/>
                <w:sz w:val="22"/>
                <w:szCs w:val="22"/>
              </w:rPr>
              <w:t xml:space="preserve"> (GLA)</w:t>
            </w:r>
          </w:p>
          <w:p w:rsidR="00564D76" w:rsidRPr="00564D76" w:rsidRDefault="00564D76" w:rsidP="00564D76">
            <w:pPr>
              <w:snapToGrid w:val="0"/>
              <w:spacing w:after="0"/>
              <w:rPr>
                <w:b/>
                <w:bCs/>
                <w:sz w:val="8"/>
                <w:szCs w:val="8"/>
              </w:rPr>
            </w:pPr>
          </w:p>
          <w:p w:rsidR="0014005A" w:rsidRDefault="0014005A" w:rsidP="00564D76">
            <w:pPr>
              <w:snapToGrid w:val="0"/>
              <w:spacing w:after="0"/>
              <w:rPr>
                <w:b/>
                <w:bCs/>
                <w:sz w:val="22"/>
                <w:szCs w:val="22"/>
              </w:rPr>
            </w:pPr>
            <w:r w:rsidRPr="0014005A">
              <w:rPr>
                <w:b/>
                <w:bCs/>
                <w:sz w:val="22"/>
                <w:szCs w:val="22"/>
              </w:rPr>
              <w:t>Supporting students with statements and specific learning</w:t>
            </w:r>
            <w:r>
              <w:rPr>
                <w:b/>
                <w:bCs/>
                <w:sz w:val="22"/>
                <w:szCs w:val="22"/>
              </w:rPr>
              <w:t xml:space="preserve"> and/or language </w:t>
            </w:r>
            <w:r w:rsidRPr="0014005A">
              <w:rPr>
                <w:b/>
                <w:bCs/>
                <w:sz w:val="22"/>
                <w:szCs w:val="22"/>
              </w:rPr>
              <w:t xml:space="preserve"> needs, supporting on a one to one, small group or class basis</w:t>
            </w:r>
          </w:p>
          <w:p w:rsidR="00564D76" w:rsidRPr="0014005A" w:rsidRDefault="00564D76" w:rsidP="00564D76">
            <w:pPr>
              <w:snapToGrid w:val="0"/>
              <w:spacing w:after="0"/>
              <w:rPr>
                <w:b/>
                <w:bCs/>
                <w:sz w:val="22"/>
                <w:szCs w:val="22"/>
              </w:rPr>
            </w:pPr>
          </w:p>
        </w:tc>
      </w:tr>
      <w:tr w:rsidR="0014005A" w:rsidRPr="0014005A" w:rsidTr="0014005A">
        <w:tc>
          <w:tcPr>
            <w:tcW w:w="2088" w:type="dxa"/>
            <w:tcBorders>
              <w:top w:val="single" w:sz="4" w:space="0" w:color="000000"/>
              <w:left w:val="single" w:sz="4" w:space="0" w:color="000000"/>
              <w:bottom w:val="single" w:sz="4" w:space="0" w:color="000000"/>
            </w:tcBorders>
          </w:tcPr>
          <w:p w:rsidR="0014005A" w:rsidRPr="00564D76" w:rsidRDefault="0014005A" w:rsidP="009F0D44">
            <w:pPr>
              <w:snapToGrid w:val="0"/>
              <w:rPr>
                <w:bCs/>
                <w:sz w:val="22"/>
                <w:szCs w:val="22"/>
              </w:rPr>
            </w:pPr>
            <w:r w:rsidRPr="00564D76">
              <w:rPr>
                <w:bCs/>
                <w:sz w:val="22"/>
                <w:szCs w:val="22"/>
              </w:rPr>
              <w:t>Grade</w:t>
            </w:r>
          </w:p>
        </w:tc>
        <w:tc>
          <w:tcPr>
            <w:tcW w:w="7131" w:type="dxa"/>
            <w:tcBorders>
              <w:top w:val="single" w:sz="4" w:space="0" w:color="000000"/>
              <w:left w:val="single" w:sz="4" w:space="0" w:color="000000"/>
              <w:bottom w:val="single" w:sz="4" w:space="0" w:color="000000"/>
              <w:right w:val="single" w:sz="4" w:space="0" w:color="000000"/>
            </w:tcBorders>
          </w:tcPr>
          <w:p w:rsidR="0014005A" w:rsidRPr="0014005A" w:rsidRDefault="00B77CA3" w:rsidP="009F0D44">
            <w:pPr>
              <w:snapToGrid w:val="0"/>
              <w:rPr>
                <w:b/>
                <w:bCs/>
                <w:sz w:val="22"/>
                <w:szCs w:val="22"/>
              </w:rPr>
            </w:pPr>
            <w:r>
              <w:rPr>
                <w:b/>
                <w:bCs/>
                <w:sz w:val="22"/>
                <w:szCs w:val="22"/>
              </w:rPr>
              <w:t>TSAT Grades C/D</w:t>
            </w:r>
          </w:p>
          <w:p w:rsidR="00564D76" w:rsidRDefault="000D6469" w:rsidP="009F0D44">
            <w:pPr>
              <w:snapToGrid w:val="0"/>
              <w:rPr>
                <w:b/>
                <w:bCs/>
                <w:sz w:val="22"/>
                <w:szCs w:val="22"/>
              </w:rPr>
            </w:pPr>
            <w:r>
              <w:rPr>
                <w:b/>
                <w:bCs/>
                <w:sz w:val="22"/>
                <w:szCs w:val="22"/>
              </w:rPr>
              <w:t>37</w:t>
            </w:r>
            <w:r w:rsidR="00564D76">
              <w:rPr>
                <w:b/>
                <w:bCs/>
                <w:sz w:val="22"/>
                <w:szCs w:val="22"/>
              </w:rPr>
              <w:t xml:space="preserve"> hours per week</w:t>
            </w:r>
          </w:p>
          <w:p w:rsidR="0014005A" w:rsidRPr="0014005A" w:rsidRDefault="00564D76" w:rsidP="00BD4A60">
            <w:pPr>
              <w:snapToGrid w:val="0"/>
              <w:rPr>
                <w:b/>
                <w:bCs/>
                <w:sz w:val="22"/>
                <w:szCs w:val="22"/>
              </w:rPr>
            </w:pPr>
            <w:r>
              <w:rPr>
                <w:b/>
                <w:bCs/>
                <w:sz w:val="22"/>
                <w:szCs w:val="22"/>
              </w:rPr>
              <w:t>Term t</w:t>
            </w:r>
            <w:r w:rsidR="0014005A" w:rsidRPr="0014005A">
              <w:rPr>
                <w:b/>
                <w:bCs/>
                <w:sz w:val="22"/>
                <w:szCs w:val="22"/>
              </w:rPr>
              <w:t xml:space="preserve">ime plus </w:t>
            </w:r>
            <w:r w:rsidR="00BD4A60">
              <w:rPr>
                <w:b/>
                <w:bCs/>
                <w:sz w:val="22"/>
                <w:szCs w:val="22"/>
              </w:rPr>
              <w:t xml:space="preserve">5 </w:t>
            </w:r>
            <w:r w:rsidR="0014005A" w:rsidRPr="0014005A">
              <w:rPr>
                <w:b/>
                <w:bCs/>
                <w:sz w:val="22"/>
                <w:szCs w:val="22"/>
              </w:rPr>
              <w:t>days</w:t>
            </w:r>
          </w:p>
        </w:tc>
      </w:tr>
      <w:tr w:rsidR="0014005A" w:rsidRPr="0014005A" w:rsidTr="0014005A">
        <w:tc>
          <w:tcPr>
            <w:tcW w:w="2088" w:type="dxa"/>
            <w:tcBorders>
              <w:top w:val="single" w:sz="4" w:space="0" w:color="000000"/>
              <w:left w:val="single" w:sz="4" w:space="0" w:color="000000"/>
              <w:bottom w:val="single" w:sz="4" w:space="0" w:color="000000"/>
            </w:tcBorders>
          </w:tcPr>
          <w:p w:rsidR="00564D76" w:rsidRPr="00564D76" w:rsidRDefault="00564D76" w:rsidP="009F0D44">
            <w:pPr>
              <w:snapToGrid w:val="0"/>
              <w:rPr>
                <w:bCs/>
                <w:sz w:val="22"/>
                <w:szCs w:val="22"/>
              </w:rPr>
            </w:pPr>
          </w:p>
          <w:p w:rsidR="0014005A" w:rsidRPr="00564D76" w:rsidRDefault="0014005A" w:rsidP="009F0D44">
            <w:pPr>
              <w:snapToGrid w:val="0"/>
              <w:rPr>
                <w:bCs/>
                <w:sz w:val="22"/>
                <w:szCs w:val="22"/>
              </w:rPr>
            </w:pPr>
            <w:r w:rsidRPr="00564D76">
              <w:rPr>
                <w:bCs/>
                <w:sz w:val="22"/>
                <w:szCs w:val="22"/>
              </w:rPr>
              <w:t>Accountable to</w:t>
            </w:r>
          </w:p>
        </w:tc>
        <w:tc>
          <w:tcPr>
            <w:tcW w:w="7131" w:type="dxa"/>
            <w:tcBorders>
              <w:top w:val="single" w:sz="4" w:space="0" w:color="000000"/>
              <w:left w:val="single" w:sz="4" w:space="0" w:color="000000"/>
              <w:bottom w:val="single" w:sz="4" w:space="0" w:color="000000"/>
              <w:right w:val="single" w:sz="4" w:space="0" w:color="000000"/>
            </w:tcBorders>
          </w:tcPr>
          <w:p w:rsidR="00564D76" w:rsidRDefault="00564D76" w:rsidP="0014005A">
            <w:pPr>
              <w:snapToGrid w:val="0"/>
              <w:rPr>
                <w:b/>
                <w:bCs/>
                <w:sz w:val="22"/>
                <w:szCs w:val="22"/>
              </w:rPr>
            </w:pPr>
          </w:p>
          <w:p w:rsidR="0014005A" w:rsidRPr="0014005A" w:rsidRDefault="00DC28F1" w:rsidP="00DC28F1">
            <w:pPr>
              <w:snapToGrid w:val="0"/>
              <w:rPr>
                <w:b/>
                <w:bCs/>
                <w:sz w:val="22"/>
                <w:szCs w:val="22"/>
              </w:rPr>
            </w:pPr>
            <w:r>
              <w:rPr>
                <w:b/>
                <w:bCs/>
                <w:sz w:val="22"/>
                <w:szCs w:val="22"/>
              </w:rPr>
              <w:t>SENCO</w:t>
            </w:r>
          </w:p>
        </w:tc>
      </w:tr>
      <w:tr w:rsidR="0014005A" w:rsidRPr="0014005A" w:rsidTr="0014005A">
        <w:tc>
          <w:tcPr>
            <w:tcW w:w="2088" w:type="dxa"/>
            <w:tcBorders>
              <w:top w:val="single" w:sz="4" w:space="0" w:color="000000"/>
              <w:left w:val="single" w:sz="4" w:space="0" w:color="000000"/>
              <w:bottom w:val="single" w:sz="4" w:space="0" w:color="000000"/>
            </w:tcBorders>
          </w:tcPr>
          <w:p w:rsidR="00564D76" w:rsidRPr="00564D76" w:rsidRDefault="00564D76" w:rsidP="00564D76">
            <w:pPr>
              <w:snapToGrid w:val="0"/>
              <w:spacing w:after="0"/>
              <w:rPr>
                <w:bCs/>
                <w:sz w:val="22"/>
                <w:szCs w:val="22"/>
              </w:rPr>
            </w:pPr>
          </w:p>
          <w:p w:rsidR="0014005A" w:rsidRPr="00564D76" w:rsidRDefault="0014005A" w:rsidP="00564D76">
            <w:pPr>
              <w:snapToGrid w:val="0"/>
              <w:spacing w:after="0"/>
              <w:rPr>
                <w:bCs/>
                <w:sz w:val="22"/>
                <w:szCs w:val="22"/>
              </w:rPr>
            </w:pPr>
            <w:r w:rsidRPr="00564D76">
              <w:rPr>
                <w:bCs/>
                <w:sz w:val="22"/>
                <w:szCs w:val="22"/>
              </w:rPr>
              <w:t>Accountable for</w:t>
            </w:r>
          </w:p>
        </w:tc>
        <w:tc>
          <w:tcPr>
            <w:tcW w:w="7131" w:type="dxa"/>
            <w:tcBorders>
              <w:top w:val="single" w:sz="4" w:space="0" w:color="000000"/>
              <w:left w:val="single" w:sz="4" w:space="0" w:color="000000"/>
              <w:bottom w:val="single" w:sz="4" w:space="0" w:color="000000"/>
              <w:right w:val="single" w:sz="4" w:space="0" w:color="000000"/>
            </w:tcBorders>
          </w:tcPr>
          <w:p w:rsidR="00564D76" w:rsidRDefault="00564D76" w:rsidP="00564D76">
            <w:pPr>
              <w:pStyle w:val="ListParagraph"/>
              <w:snapToGrid w:val="0"/>
              <w:spacing w:after="0"/>
              <w:ind w:left="0"/>
              <w:rPr>
                <w:sz w:val="22"/>
                <w:szCs w:val="22"/>
              </w:rPr>
            </w:pPr>
          </w:p>
          <w:p w:rsidR="0014005A" w:rsidRPr="003C1313" w:rsidRDefault="0014005A" w:rsidP="00564D76">
            <w:pPr>
              <w:pStyle w:val="ListParagraph"/>
              <w:numPr>
                <w:ilvl w:val="0"/>
                <w:numId w:val="5"/>
              </w:numPr>
              <w:snapToGrid w:val="0"/>
              <w:spacing w:after="0"/>
              <w:ind w:left="219" w:hanging="219"/>
              <w:rPr>
                <w:sz w:val="22"/>
                <w:szCs w:val="22"/>
              </w:rPr>
            </w:pPr>
            <w:r w:rsidRPr="003C1313">
              <w:rPr>
                <w:sz w:val="22"/>
                <w:szCs w:val="22"/>
              </w:rPr>
              <w:t>Supporting designated colleagues in the preparation and presentation of learning resources of both academic and pastoral nature.</w:t>
            </w:r>
          </w:p>
          <w:p w:rsidR="0014005A" w:rsidRPr="003C1313" w:rsidRDefault="0014005A" w:rsidP="00564D76">
            <w:pPr>
              <w:pStyle w:val="ListParagraph"/>
              <w:numPr>
                <w:ilvl w:val="0"/>
                <w:numId w:val="5"/>
              </w:numPr>
              <w:snapToGrid w:val="0"/>
              <w:spacing w:after="0"/>
              <w:ind w:left="219" w:hanging="219"/>
              <w:rPr>
                <w:sz w:val="22"/>
                <w:szCs w:val="22"/>
              </w:rPr>
            </w:pPr>
            <w:r w:rsidRPr="003C1313">
              <w:rPr>
                <w:sz w:val="22"/>
                <w:szCs w:val="22"/>
              </w:rPr>
              <w:t>Supporting the learning of individuals and groups of students in both learning and pastoral activity.</w:t>
            </w:r>
          </w:p>
          <w:p w:rsidR="0014005A" w:rsidRPr="003C1313" w:rsidRDefault="0014005A" w:rsidP="00564D76">
            <w:pPr>
              <w:pStyle w:val="ListParagraph"/>
              <w:numPr>
                <w:ilvl w:val="0"/>
                <w:numId w:val="5"/>
              </w:numPr>
              <w:snapToGrid w:val="0"/>
              <w:spacing w:after="0"/>
              <w:ind w:left="219" w:hanging="219"/>
              <w:rPr>
                <w:sz w:val="22"/>
                <w:szCs w:val="22"/>
              </w:rPr>
            </w:pPr>
            <w:r w:rsidRPr="003C1313">
              <w:rPr>
                <w:sz w:val="22"/>
                <w:szCs w:val="22"/>
              </w:rPr>
              <w:t xml:space="preserve">Promoting and supporting the emotional literacy and academic development of students as guided by line-managers. </w:t>
            </w:r>
          </w:p>
          <w:p w:rsidR="00CE44B5" w:rsidRPr="0014005A" w:rsidRDefault="00CE44B5" w:rsidP="00564D76">
            <w:pPr>
              <w:snapToGrid w:val="0"/>
              <w:spacing w:after="0"/>
              <w:rPr>
                <w:b/>
                <w:sz w:val="22"/>
                <w:szCs w:val="22"/>
              </w:rPr>
            </w:pPr>
          </w:p>
        </w:tc>
      </w:tr>
      <w:tr w:rsidR="0014005A" w:rsidRPr="0014005A" w:rsidTr="0014005A">
        <w:trPr>
          <w:trHeight w:val="423"/>
        </w:trPr>
        <w:tc>
          <w:tcPr>
            <w:tcW w:w="2088" w:type="dxa"/>
            <w:tcBorders>
              <w:top w:val="single" w:sz="4" w:space="0" w:color="000000"/>
              <w:left w:val="single" w:sz="4" w:space="0" w:color="000000"/>
              <w:bottom w:val="single" w:sz="4" w:space="0" w:color="000000"/>
            </w:tcBorders>
          </w:tcPr>
          <w:p w:rsidR="003C1313" w:rsidRPr="00564D76" w:rsidRDefault="003C1313" w:rsidP="009F0D44">
            <w:pPr>
              <w:snapToGrid w:val="0"/>
              <w:spacing w:after="0" w:line="240" w:lineRule="auto"/>
              <w:rPr>
                <w:bCs/>
                <w:sz w:val="22"/>
                <w:szCs w:val="22"/>
              </w:rPr>
            </w:pPr>
          </w:p>
          <w:p w:rsidR="0014005A" w:rsidRPr="00564D76" w:rsidRDefault="0014005A" w:rsidP="009F0D44">
            <w:pPr>
              <w:snapToGrid w:val="0"/>
              <w:spacing w:after="0" w:line="240" w:lineRule="auto"/>
              <w:rPr>
                <w:bCs/>
                <w:sz w:val="22"/>
                <w:szCs w:val="22"/>
              </w:rPr>
            </w:pPr>
            <w:r w:rsidRPr="00564D76">
              <w:rPr>
                <w:bCs/>
                <w:sz w:val="22"/>
                <w:szCs w:val="22"/>
              </w:rPr>
              <w:t>Key Responsibilities</w:t>
            </w:r>
          </w:p>
          <w:p w:rsidR="0014005A" w:rsidRPr="00564D76" w:rsidRDefault="0014005A" w:rsidP="009F0D44">
            <w:pPr>
              <w:rPr>
                <w:bCs/>
                <w:sz w:val="22"/>
                <w:szCs w:val="22"/>
              </w:rPr>
            </w:pPr>
          </w:p>
        </w:tc>
        <w:tc>
          <w:tcPr>
            <w:tcW w:w="7131" w:type="dxa"/>
            <w:tcBorders>
              <w:top w:val="single" w:sz="4" w:space="0" w:color="000000"/>
              <w:left w:val="single" w:sz="4" w:space="0" w:color="000000"/>
              <w:bottom w:val="single" w:sz="4" w:space="0" w:color="000000"/>
              <w:right w:val="single" w:sz="4" w:space="0" w:color="000000"/>
            </w:tcBorders>
          </w:tcPr>
          <w:p w:rsidR="00CE44B5" w:rsidRDefault="00CE44B5" w:rsidP="00CE44B5">
            <w:pPr>
              <w:suppressAutoHyphens/>
              <w:snapToGrid w:val="0"/>
              <w:spacing w:after="0" w:line="240" w:lineRule="auto"/>
              <w:ind w:left="360"/>
              <w:rPr>
                <w:sz w:val="22"/>
                <w:szCs w:val="22"/>
              </w:rPr>
            </w:pPr>
          </w:p>
          <w:p w:rsidR="0014005A" w:rsidRPr="0014005A" w:rsidRDefault="0014005A" w:rsidP="0014005A">
            <w:pPr>
              <w:numPr>
                <w:ilvl w:val="0"/>
                <w:numId w:val="3"/>
              </w:numPr>
              <w:suppressAutoHyphens/>
              <w:snapToGrid w:val="0"/>
              <w:spacing w:after="0" w:line="240" w:lineRule="auto"/>
              <w:rPr>
                <w:sz w:val="22"/>
                <w:szCs w:val="22"/>
              </w:rPr>
            </w:pPr>
            <w:r w:rsidRPr="0014005A">
              <w:rPr>
                <w:sz w:val="22"/>
                <w:szCs w:val="22"/>
              </w:rPr>
              <w:t>To follow the direction of designated line-managers in the preparation of materials to support learning and emotional literacy.</w:t>
            </w:r>
          </w:p>
          <w:p w:rsidR="0014005A" w:rsidRPr="0014005A" w:rsidRDefault="0014005A" w:rsidP="0014005A">
            <w:pPr>
              <w:numPr>
                <w:ilvl w:val="0"/>
                <w:numId w:val="3"/>
              </w:numPr>
              <w:suppressAutoHyphens/>
              <w:snapToGrid w:val="0"/>
              <w:spacing w:after="0" w:line="240" w:lineRule="auto"/>
              <w:rPr>
                <w:sz w:val="22"/>
                <w:szCs w:val="22"/>
              </w:rPr>
            </w:pPr>
            <w:r w:rsidRPr="0014005A">
              <w:rPr>
                <w:sz w:val="22"/>
                <w:szCs w:val="22"/>
              </w:rPr>
              <w:t xml:space="preserve">To work, as directed, with individuals or groups of students </w:t>
            </w:r>
          </w:p>
          <w:p w:rsidR="0014005A" w:rsidRPr="0014005A" w:rsidRDefault="0014005A" w:rsidP="0014005A">
            <w:pPr>
              <w:numPr>
                <w:ilvl w:val="0"/>
                <w:numId w:val="3"/>
              </w:numPr>
              <w:suppressAutoHyphens/>
              <w:snapToGrid w:val="0"/>
              <w:spacing w:after="0" w:line="240" w:lineRule="auto"/>
              <w:rPr>
                <w:sz w:val="22"/>
                <w:szCs w:val="22"/>
              </w:rPr>
            </w:pPr>
            <w:r w:rsidRPr="0014005A">
              <w:rPr>
                <w:sz w:val="22"/>
                <w:szCs w:val="22"/>
              </w:rPr>
              <w:t>To assist in the promotion of high standards of behaviour and conduct within the Academy and to provide support for all colleagues through enactment of Academy policy and procedure.</w:t>
            </w:r>
          </w:p>
          <w:p w:rsidR="0014005A" w:rsidRPr="0014005A" w:rsidRDefault="0014005A" w:rsidP="0014005A">
            <w:pPr>
              <w:numPr>
                <w:ilvl w:val="0"/>
                <w:numId w:val="3"/>
              </w:numPr>
              <w:suppressAutoHyphens/>
              <w:spacing w:after="0" w:line="240" w:lineRule="auto"/>
              <w:rPr>
                <w:sz w:val="22"/>
                <w:szCs w:val="22"/>
              </w:rPr>
            </w:pPr>
            <w:r w:rsidRPr="0014005A">
              <w:rPr>
                <w:color w:val="000000"/>
                <w:sz w:val="22"/>
                <w:szCs w:val="22"/>
              </w:rPr>
              <w:t>Contribute to raising standards, providing literacy and numeracy support.</w:t>
            </w:r>
          </w:p>
          <w:p w:rsidR="0014005A" w:rsidRPr="0014005A" w:rsidRDefault="0014005A" w:rsidP="0014005A">
            <w:pPr>
              <w:numPr>
                <w:ilvl w:val="0"/>
                <w:numId w:val="3"/>
              </w:numPr>
              <w:suppressAutoHyphens/>
              <w:snapToGrid w:val="0"/>
              <w:spacing w:after="0" w:line="240" w:lineRule="auto"/>
              <w:rPr>
                <w:sz w:val="22"/>
                <w:szCs w:val="22"/>
              </w:rPr>
            </w:pPr>
            <w:r w:rsidRPr="0014005A">
              <w:rPr>
                <w:sz w:val="22"/>
                <w:szCs w:val="22"/>
              </w:rPr>
              <w:t>To support colleagues and students, as directed and guided by line-managers, in all aspects of learning, personal development and emotional literacy both within classrooms and in other defined learning environments.</w:t>
            </w:r>
            <w:r w:rsidRPr="0014005A">
              <w:rPr>
                <w:color w:val="000000"/>
                <w:sz w:val="22"/>
                <w:szCs w:val="22"/>
              </w:rPr>
              <w:t xml:space="preserve"> </w:t>
            </w:r>
          </w:p>
          <w:p w:rsidR="0014005A" w:rsidRPr="0014005A" w:rsidRDefault="0014005A" w:rsidP="0014005A">
            <w:pPr>
              <w:numPr>
                <w:ilvl w:val="0"/>
                <w:numId w:val="3"/>
              </w:numPr>
              <w:suppressAutoHyphens/>
              <w:snapToGrid w:val="0"/>
              <w:spacing w:after="0" w:line="240" w:lineRule="auto"/>
              <w:rPr>
                <w:sz w:val="22"/>
                <w:szCs w:val="22"/>
              </w:rPr>
            </w:pPr>
            <w:r w:rsidRPr="0014005A">
              <w:rPr>
                <w:color w:val="000000"/>
                <w:sz w:val="22"/>
                <w:szCs w:val="22"/>
              </w:rPr>
              <w:t xml:space="preserve">Supervise students during student break/lunchtimes, etc.  </w:t>
            </w:r>
          </w:p>
          <w:p w:rsidR="0014005A" w:rsidRPr="0014005A" w:rsidRDefault="0014005A" w:rsidP="0014005A">
            <w:pPr>
              <w:numPr>
                <w:ilvl w:val="0"/>
                <w:numId w:val="3"/>
              </w:numPr>
              <w:suppressAutoHyphens/>
              <w:spacing w:after="0" w:line="240" w:lineRule="auto"/>
              <w:rPr>
                <w:sz w:val="22"/>
                <w:szCs w:val="22"/>
              </w:rPr>
            </w:pPr>
            <w:r w:rsidRPr="0014005A">
              <w:rPr>
                <w:sz w:val="22"/>
                <w:szCs w:val="22"/>
              </w:rPr>
              <w:t>To assist in monitoring the progress of all individuals within the School through following Academy policy and procedure.</w:t>
            </w:r>
          </w:p>
          <w:p w:rsidR="0014005A" w:rsidRPr="0014005A" w:rsidRDefault="0014005A" w:rsidP="0014005A">
            <w:pPr>
              <w:numPr>
                <w:ilvl w:val="0"/>
                <w:numId w:val="3"/>
              </w:numPr>
              <w:suppressAutoHyphens/>
              <w:spacing w:after="0" w:line="240" w:lineRule="auto"/>
              <w:rPr>
                <w:sz w:val="22"/>
                <w:szCs w:val="22"/>
              </w:rPr>
            </w:pPr>
            <w:r w:rsidRPr="0014005A">
              <w:rPr>
                <w:sz w:val="22"/>
                <w:szCs w:val="22"/>
              </w:rPr>
              <w:t xml:space="preserve">To assist in the development and maintenance of good relationships with parents.     </w:t>
            </w:r>
          </w:p>
          <w:p w:rsidR="0014005A" w:rsidRPr="0014005A" w:rsidRDefault="0014005A" w:rsidP="0014005A">
            <w:pPr>
              <w:numPr>
                <w:ilvl w:val="0"/>
                <w:numId w:val="3"/>
              </w:numPr>
              <w:suppressAutoHyphens/>
              <w:spacing w:after="0" w:line="240" w:lineRule="auto"/>
              <w:rPr>
                <w:sz w:val="22"/>
                <w:szCs w:val="22"/>
              </w:rPr>
            </w:pPr>
            <w:r w:rsidRPr="0014005A">
              <w:rPr>
                <w:sz w:val="22"/>
                <w:szCs w:val="22"/>
              </w:rPr>
              <w:t xml:space="preserve">To be fully involved with all special activities related to the School              </w:t>
            </w:r>
          </w:p>
          <w:p w:rsidR="0014005A" w:rsidRPr="0014005A" w:rsidRDefault="0014005A" w:rsidP="0014005A">
            <w:pPr>
              <w:numPr>
                <w:ilvl w:val="0"/>
                <w:numId w:val="3"/>
              </w:numPr>
              <w:suppressAutoHyphens/>
              <w:spacing w:after="0" w:line="240" w:lineRule="auto"/>
              <w:rPr>
                <w:sz w:val="22"/>
                <w:szCs w:val="22"/>
              </w:rPr>
            </w:pPr>
            <w:r w:rsidRPr="0014005A">
              <w:rPr>
                <w:sz w:val="22"/>
                <w:szCs w:val="22"/>
              </w:rPr>
              <w:t>To provide support to the Extended enrichment provision as directed and guided by Line Managers.</w:t>
            </w:r>
          </w:p>
          <w:p w:rsidR="0014005A" w:rsidRPr="0014005A" w:rsidRDefault="0014005A" w:rsidP="0014005A">
            <w:pPr>
              <w:numPr>
                <w:ilvl w:val="0"/>
                <w:numId w:val="3"/>
              </w:numPr>
              <w:suppressAutoHyphens/>
              <w:spacing w:after="0" w:line="240" w:lineRule="auto"/>
              <w:rPr>
                <w:sz w:val="22"/>
                <w:szCs w:val="22"/>
              </w:rPr>
            </w:pPr>
            <w:r w:rsidRPr="0014005A">
              <w:rPr>
                <w:sz w:val="22"/>
                <w:szCs w:val="22"/>
              </w:rPr>
              <w:t>To advise colleagues as soon as possible and in accord with Academy policy and procedure, specifically line-managers; of any concerns regarding student academic or emotional progress and/or development.</w:t>
            </w:r>
          </w:p>
          <w:p w:rsidR="0014005A" w:rsidRPr="0014005A" w:rsidRDefault="0014005A" w:rsidP="0014005A">
            <w:pPr>
              <w:numPr>
                <w:ilvl w:val="0"/>
                <w:numId w:val="3"/>
              </w:numPr>
              <w:suppressAutoHyphens/>
              <w:spacing w:after="0" w:line="240" w:lineRule="auto"/>
              <w:rPr>
                <w:sz w:val="22"/>
                <w:szCs w:val="22"/>
              </w:rPr>
            </w:pPr>
            <w:r w:rsidRPr="0014005A">
              <w:rPr>
                <w:sz w:val="22"/>
                <w:szCs w:val="22"/>
              </w:rPr>
              <w:lastRenderedPageBreak/>
              <w:t>To promote personal and group reflection in students in all aspects of academic, social and emotional learning.</w:t>
            </w:r>
          </w:p>
          <w:p w:rsidR="0014005A" w:rsidRPr="0014005A" w:rsidRDefault="0014005A" w:rsidP="0014005A">
            <w:pPr>
              <w:numPr>
                <w:ilvl w:val="0"/>
                <w:numId w:val="3"/>
              </w:numPr>
              <w:suppressAutoHyphens/>
              <w:spacing w:after="0" w:line="240" w:lineRule="auto"/>
              <w:rPr>
                <w:sz w:val="22"/>
                <w:szCs w:val="22"/>
              </w:rPr>
            </w:pPr>
            <w:r w:rsidRPr="0014005A">
              <w:rPr>
                <w:sz w:val="22"/>
                <w:szCs w:val="22"/>
              </w:rPr>
              <w:t>Have the highest of expectations of pupils learning and progress.</w:t>
            </w:r>
          </w:p>
          <w:p w:rsidR="0014005A" w:rsidRPr="0014005A" w:rsidRDefault="0014005A" w:rsidP="0014005A">
            <w:pPr>
              <w:numPr>
                <w:ilvl w:val="0"/>
                <w:numId w:val="3"/>
              </w:numPr>
              <w:suppressAutoHyphens/>
              <w:spacing w:after="0" w:line="240" w:lineRule="auto"/>
              <w:rPr>
                <w:sz w:val="22"/>
                <w:szCs w:val="22"/>
              </w:rPr>
            </w:pPr>
            <w:r w:rsidRPr="0014005A">
              <w:rPr>
                <w:sz w:val="22"/>
                <w:szCs w:val="22"/>
              </w:rPr>
              <w:t>Foster high aspirations through positive interactions with students and parents.</w:t>
            </w:r>
          </w:p>
          <w:p w:rsidR="0014005A" w:rsidRDefault="0014005A" w:rsidP="0014005A">
            <w:pPr>
              <w:numPr>
                <w:ilvl w:val="0"/>
                <w:numId w:val="3"/>
              </w:numPr>
              <w:suppressAutoHyphens/>
              <w:spacing w:after="200" w:line="276" w:lineRule="auto"/>
              <w:rPr>
                <w:sz w:val="22"/>
                <w:szCs w:val="22"/>
              </w:rPr>
            </w:pPr>
            <w:r w:rsidRPr="0014005A">
              <w:rPr>
                <w:sz w:val="22"/>
                <w:szCs w:val="22"/>
              </w:rPr>
              <w:t>Support and participate in student reading/literacy initiatives.</w:t>
            </w:r>
          </w:p>
          <w:p w:rsidR="00DC28F1" w:rsidRPr="0086248C" w:rsidRDefault="00DC28F1" w:rsidP="00DC28F1">
            <w:pPr>
              <w:spacing w:after="0" w:line="240" w:lineRule="auto"/>
              <w:rPr>
                <w:sz w:val="22"/>
                <w:szCs w:val="22"/>
                <w:u w:val="single"/>
              </w:rPr>
            </w:pPr>
            <w:r w:rsidRPr="0086248C">
              <w:rPr>
                <w:sz w:val="22"/>
                <w:szCs w:val="22"/>
                <w:u w:val="single"/>
              </w:rPr>
              <w:t xml:space="preserve">Other </w:t>
            </w:r>
          </w:p>
          <w:p w:rsidR="00DC28F1" w:rsidRDefault="00DC28F1" w:rsidP="00DC28F1">
            <w:pPr>
              <w:pStyle w:val="ListParagraph"/>
              <w:numPr>
                <w:ilvl w:val="0"/>
                <w:numId w:val="6"/>
              </w:numPr>
              <w:suppressAutoHyphens/>
              <w:spacing w:after="0" w:line="240" w:lineRule="auto"/>
              <w:contextualSpacing w:val="0"/>
              <w:rPr>
                <w:sz w:val="22"/>
                <w:szCs w:val="22"/>
              </w:rPr>
            </w:pPr>
            <w:r w:rsidRPr="0086248C">
              <w:rPr>
                <w:sz w:val="22"/>
                <w:szCs w:val="22"/>
              </w:rPr>
              <w:t>To adhere to Academy dress code presenting a professional image to students, parents/carers, governors and the wider community</w:t>
            </w:r>
          </w:p>
          <w:p w:rsidR="00DC28F1" w:rsidRPr="00DC28F1" w:rsidRDefault="00DC28F1" w:rsidP="00DC28F1">
            <w:pPr>
              <w:pStyle w:val="ListParagraph"/>
              <w:suppressAutoHyphens/>
              <w:spacing w:after="0" w:line="240" w:lineRule="auto"/>
              <w:contextualSpacing w:val="0"/>
              <w:rPr>
                <w:sz w:val="22"/>
                <w:szCs w:val="22"/>
              </w:rPr>
            </w:pPr>
          </w:p>
        </w:tc>
      </w:tr>
      <w:tr w:rsidR="0014005A" w:rsidRPr="0014005A" w:rsidTr="0014005A">
        <w:trPr>
          <w:trHeight w:val="1416"/>
        </w:trPr>
        <w:tc>
          <w:tcPr>
            <w:tcW w:w="2088" w:type="dxa"/>
            <w:tcBorders>
              <w:top w:val="single" w:sz="4" w:space="0" w:color="000000"/>
              <w:left w:val="single" w:sz="4" w:space="0" w:color="000000"/>
              <w:bottom w:val="single" w:sz="4" w:space="0" w:color="000000"/>
            </w:tcBorders>
          </w:tcPr>
          <w:p w:rsidR="00A21BAA" w:rsidRDefault="00A21BAA" w:rsidP="009F0D44">
            <w:pPr>
              <w:snapToGrid w:val="0"/>
              <w:spacing w:after="0" w:line="240" w:lineRule="auto"/>
              <w:rPr>
                <w:bCs/>
                <w:sz w:val="22"/>
                <w:szCs w:val="22"/>
              </w:rPr>
            </w:pPr>
          </w:p>
          <w:p w:rsidR="0014005A" w:rsidRPr="00A21BAA" w:rsidRDefault="0014005A" w:rsidP="009F0D44">
            <w:pPr>
              <w:snapToGrid w:val="0"/>
              <w:spacing w:after="0" w:line="240" w:lineRule="auto"/>
              <w:rPr>
                <w:bCs/>
                <w:sz w:val="22"/>
                <w:szCs w:val="22"/>
              </w:rPr>
            </w:pPr>
            <w:r w:rsidRPr="00A21BAA">
              <w:rPr>
                <w:bCs/>
                <w:sz w:val="22"/>
                <w:szCs w:val="22"/>
              </w:rPr>
              <w:t>Community</w:t>
            </w:r>
          </w:p>
        </w:tc>
        <w:tc>
          <w:tcPr>
            <w:tcW w:w="7131" w:type="dxa"/>
            <w:tcBorders>
              <w:top w:val="single" w:sz="4" w:space="0" w:color="000000"/>
              <w:left w:val="single" w:sz="4" w:space="0" w:color="000000"/>
              <w:bottom w:val="single" w:sz="4" w:space="0" w:color="000000"/>
              <w:right w:val="single" w:sz="4" w:space="0" w:color="000000"/>
            </w:tcBorders>
          </w:tcPr>
          <w:p w:rsidR="00A21BAA" w:rsidRDefault="00A21BAA" w:rsidP="00A21BAA">
            <w:pPr>
              <w:suppressAutoHyphens/>
              <w:snapToGrid w:val="0"/>
              <w:spacing w:after="0" w:line="240" w:lineRule="auto"/>
              <w:ind w:left="360"/>
              <w:rPr>
                <w:sz w:val="22"/>
                <w:szCs w:val="22"/>
              </w:rPr>
            </w:pPr>
          </w:p>
          <w:p w:rsidR="0014005A" w:rsidRPr="0014005A" w:rsidRDefault="0014005A" w:rsidP="0014005A">
            <w:pPr>
              <w:numPr>
                <w:ilvl w:val="0"/>
                <w:numId w:val="1"/>
              </w:numPr>
              <w:suppressAutoHyphens/>
              <w:snapToGrid w:val="0"/>
              <w:spacing w:after="0" w:line="240" w:lineRule="auto"/>
              <w:ind w:left="360"/>
              <w:rPr>
                <w:sz w:val="22"/>
                <w:szCs w:val="22"/>
              </w:rPr>
            </w:pPr>
            <w:r w:rsidRPr="0014005A">
              <w:rPr>
                <w:sz w:val="22"/>
                <w:szCs w:val="22"/>
              </w:rPr>
              <w:t>Maintain confidentiality inside and outside the workplace</w:t>
            </w:r>
          </w:p>
          <w:p w:rsidR="0014005A" w:rsidRPr="0014005A" w:rsidRDefault="0014005A" w:rsidP="0014005A">
            <w:pPr>
              <w:numPr>
                <w:ilvl w:val="0"/>
                <w:numId w:val="1"/>
              </w:numPr>
              <w:suppressAutoHyphens/>
              <w:spacing w:after="0" w:line="240" w:lineRule="auto"/>
              <w:ind w:left="360"/>
              <w:rPr>
                <w:sz w:val="22"/>
                <w:szCs w:val="22"/>
              </w:rPr>
            </w:pPr>
            <w:r w:rsidRPr="0014005A">
              <w:rPr>
                <w:sz w:val="22"/>
                <w:szCs w:val="22"/>
              </w:rPr>
              <w:t>Understand and apply Academy policies</w:t>
            </w:r>
          </w:p>
          <w:p w:rsidR="0014005A" w:rsidRPr="0014005A" w:rsidRDefault="0014005A" w:rsidP="0014005A">
            <w:pPr>
              <w:numPr>
                <w:ilvl w:val="0"/>
                <w:numId w:val="1"/>
              </w:numPr>
              <w:suppressAutoHyphens/>
              <w:spacing w:after="0" w:line="240" w:lineRule="auto"/>
              <w:ind w:left="360"/>
              <w:rPr>
                <w:sz w:val="22"/>
                <w:szCs w:val="22"/>
              </w:rPr>
            </w:pPr>
            <w:r w:rsidRPr="0014005A">
              <w:rPr>
                <w:sz w:val="22"/>
                <w:szCs w:val="22"/>
              </w:rPr>
              <w:t>Support Academy ethos and vision in the wider community</w:t>
            </w:r>
          </w:p>
        </w:tc>
      </w:tr>
    </w:tbl>
    <w:p w:rsidR="00BD4A60" w:rsidRDefault="00BD4A60" w:rsidP="00BD4A60">
      <w:pPr>
        <w:rPr>
          <w:b/>
          <w:bCs/>
        </w:rPr>
      </w:pPr>
    </w:p>
    <w:p w:rsidR="008C6506" w:rsidRPr="008C6506" w:rsidRDefault="008C6506" w:rsidP="008C6506">
      <w:pPr>
        <w:rPr>
          <w:b/>
          <w:bCs/>
        </w:rPr>
      </w:pPr>
      <w:r w:rsidRPr="008C6506">
        <w:rPr>
          <w:b/>
          <w:bCs/>
        </w:rPr>
        <w:t>Generic Duties relevant to all members of staff</w:t>
      </w:r>
    </w:p>
    <w:p w:rsidR="008C6506" w:rsidRPr="008C6506" w:rsidRDefault="008C6506" w:rsidP="008C6506">
      <w:pPr>
        <w:rPr>
          <w:b/>
          <w:bCs/>
        </w:rPr>
      </w:pPr>
      <w:r w:rsidRPr="008C6506">
        <w:rPr>
          <w:b/>
          <w:bCs/>
        </w:rPr>
        <w:t>1.1</w:t>
      </w:r>
      <w:r w:rsidRPr="008C6506">
        <w:rPr>
          <w:b/>
          <w:bCs/>
        </w:rPr>
        <w:tab/>
        <w:t>The Trust</w:t>
      </w:r>
    </w:p>
    <w:p w:rsidR="008C6506" w:rsidRPr="008C6506" w:rsidRDefault="008C6506" w:rsidP="008C6506">
      <w:pPr>
        <w:rPr>
          <w:bCs/>
        </w:rPr>
      </w:pPr>
      <w:r w:rsidRPr="008C6506">
        <w:rPr>
          <w:bCs/>
        </w:rPr>
        <w:t>The ethos of the Trust is included within the strapline “Transforming Life Chances”.  All staff are expected to be committed to this aim in everything they do.</w:t>
      </w:r>
    </w:p>
    <w:p w:rsidR="008C6506" w:rsidRPr="008C6506" w:rsidRDefault="008C6506" w:rsidP="008C6506">
      <w:pPr>
        <w:rPr>
          <w:bCs/>
        </w:rPr>
      </w:pPr>
      <w:r w:rsidRPr="008C6506">
        <w:rPr>
          <w:bCs/>
        </w:rPr>
        <w:t>It is expected that all staff work collaboratively as members of the Trust to share good practice, resources and ideas and realise the Trust’s visions and aims.  All staff should act with professional integrity at all times, following the “Code of Conduct”.</w:t>
      </w:r>
    </w:p>
    <w:p w:rsidR="008C6506" w:rsidRPr="008C6506" w:rsidRDefault="008C6506" w:rsidP="008C6506">
      <w:pPr>
        <w:rPr>
          <w:bCs/>
        </w:rPr>
      </w:pPr>
      <w:r w:rsidRPr="008C6506">
        <w:rPr>
          <w:bCs/>
        </w:rPr>
        <w:t xml:space="preserve">As a member of the Trust your role will be based at The Victory Academy.  </w:t>
      </w:r>
      <w:proofErr w:type="gramStart"/>
      <w:r w:rsidRPr="008C6506">
        <w:rPr>
          <w:bCs/>
        </w:rPr>
        <w:t>However</w:t>
      </w:r>
      <w:proofErr w:type="gramEnd"/>
      <w:r w:rsidRPr="008C6506">
        <w:rPr>
          <w:bCs/>
        </w:rPr>
        <w:t xml:space="preserve"> you may be asked to work at any of the other academies within the Trust or partner schools and you should expect to travel between sites as required.</w:t>
      </w:r>
    </w:p>
    <w:p w:rsidR="008C6506" w:rsidRPr="008C6506" w:rsidRDefault="008C6506" w:rsidP="008C6506">
      <w:pPr>
        <w:rPr>
          <w:b/>
          <w:bCs/>
        </w:rPr>
      </w:pPr>
      <w:r w:rsidRPr="008C6506">
        <w:rPr>
          <w:b/>
          <w:bCs/>
        </w:rPr>
        <w:t>1.2</w:t>
      </w:r>
      <w:r w:rsidRPr="008C6506">
        <w:rPr>
          <w:b/>
          <w:bCs/>
        </w:rPr>
        <w:tab/>
        <w:t>Teaching and Learning</w:t>
      </w:r>
    </w:p>
    <w:p w:rsidR="008C6506" w:rsidRPr="008C6506" w:rsidRDefault="008C6506" w:rsidP="008C6506">
      <w:pPr>
        <w:rPr>
          <w:b/>
          <w:bCs/>
        </w:rPr>
      </w:pPr>
      <w:r w:rsidRPr="008C6506">
        <w:rPr>
          <w:bCs/>
        </w:rPr>
        <w:t>This is our core business and therefore it is an absolute priority.  As this is a direct teaching role you are expected to support all teaching staff, irrespective of seniority, to ensure they concentrate on the core business.  This may mean undertaking tasks outside of your area of responsibility where required</w:t>
      </w:r>
      <w:r w:rsidRPr="008C6506">
        <w:rPr>
          <w:b/>
          <w:bCs/>
        </w:rPr>
        <w:t>.</w:t>
      </w:r>
    </w:p>
    <w:p w:rsidR="008C6506" w:rsidRPr="008C6506" w:rsidRDefault="008C6506" w:rsidP="008C6506">
      <w:pPr>
        <w:rPr>
          <w:b/>
          <w:bCs/>
        </w:rPr>
      </w:pPr>
      <w:r w:rsidRPr="008C6506">
        <w:rPr>
          <w:b/>
          <w:bCs/>
        </w:rPr>
        <w:t>1.3</w:t>
      </w:r>
      <w:r w:rsidRPr="008C6506">
        <w:rPr>
          <w:b/>
          <w:bCs/>
        </w:rPr>
        <w:tab/>
        <w:t>ICT</w:t>
      </w:r>
    </w:p>
    <w:p w:rsidR="008C6506" w:rsidRPr="008C6506" w:rsidRDefault="008C6506" w:rsidP="008C6506">
      <w:pPr>
        <w:rPr>
          <w:bCs/>
        </w:rPr>
      </w:pPr>
      <w:r w:rsidRPr="008C6506">
        <w:rPr>
          <w:bCs/>
        </w:rPr>
        <w:t>It is expected that all teaching and support staff follow the ICT Vision of the Trust.</w:t>
      </w:r>
    </w:p>
    <w:p w:rsidR="008C6506" w:rsidRPr="008C6506" w:rsidRDefault="008C6506" w:rsidP="008C6506">
      <w:pPr>
        <w:rPr>
          <w:bCs/>
        </w:rPr>
      </w:pPr>
      <w:r w:rsidRPr="008C6506">
        <w:rPr>
          <w:bCs/>
        </w:rPr>
        <w:t>All staff will be expected to utilise ICT and to improve communication and reduce paper use.  Security procedures must be followed when using ICT systems.</w:t>
      </w:r>
    </w:p>
    <w:p w:rsidR="008C6506" w:rsidRPr="008C6506" w:rsidRDefault="008C6506" w:rsidP="008C6506">
      <w:pPr>
        <w:rPr>
          <w:b/>
          <w:bCs/>
        </w:rPr>
      </w:pPr>
      <w:r w:rsidRPr="008C6506">
        <w:rPr>
          <w:bCs/>
        </w:rPr>
        <w:t>All staff are expected to follow (and ensure students follow) the procedures as laid out in the Trust’s Acceptable Use Policy.  Staff are also expected to ensure that they follow Trust policies with regard to professional conduct when using ICT systems or Trust ICT equipment.</w:t>
      </w:r>
    </w:p>
    <w:p w:rsidR="008C6506" w:rsidRDefault="008C6506" w:rsidP="008C6506">
      <w:pPr>
        <w:rPr>
          <w:b/>
          <w:bCs/>
        </w:rPr>
      </w:pPr>
    </w:p>
    <w:p w:rsidR="008C6506" w:rsidRDefault="008C6506" w:rsidP="008C6506">
      <w:pPr>
        <w:rPr>
          <w:b/>
          <w:bCs/>
        </w:rPr>
      </w:pPr>
    </w:p>
    <w:p w:rsidR="008C6506" w:rsidRPr="008C6506" w:rsidRDefault="008C6506" w:rsidP="008C6506">
      <w:pPr>
        <w:rPr>
          <w:b/>
          <w:bCs/>
        </w:rPr>
      </w:pPr>
      <w:r w:rsidRPr="008C6506">
        <w:rPr>
          <w:b/>
          <w:bCs/>
        </w:rPr>
        <w:lastRenderedPageBreak/>
        <w:t>1.4</w:t>
      </w:r>
      <w:r w:rsidRPr="008C6506">
        <w:rPr>
          <w:b/>
          <w:bCs/>
        </w:rPr>
        <w:tab/>
        <w:t>Health and Safety</w:t>
      </w:r>
    </w:p>
    <w:p w:rsidR="008C6506" w:rsidRPr="008C6506" w:rsidRDefault="008C6506" w:rsidP="008C6506">
      <w:pPr>
        <w:rPr>
          <w:bCs/>
        </w:rPr>
      </w:pPr>
      <w:r w:rsidRPr="008C6506">
        <w:rPr>
          <w:bCs/>
        </w:rPr>
        <w:t xml:space="preserve">Employees are required to work in compliance with the Academy’s Health &amp; Safety Policies and under the Health and Safety </w:t>
      </w:r>
      <w:proofErr w:type="gramStart"/>
      <w:r w:rsidRPr="008C6506">
        <w:rPr>
          <w:bCs/>
        </w:rPr>
        <w:t>At</w:t>
      </w:r>
      <w:proofErr w:type="gramEnd"/>
      <w:r w:rsidRPr="008C6506">
        <w:rPr>
          <w:bCs/>
        </w:rPr>
        <w:t xml:space="preserve"> Work Act 1974 (as amended), ensuring the safety of all parties they come into contact with, such as members of the public, in premises or sites controlled by the Trust.</w:t>
      </w:r>
    </w:p>
    <w:p w:rsidR="008C6506" w:rsidRPr="008C6506" w:rsidRDefault="008C6506" w:rsidP="008C6506">
      <w:pPr>
        <w:rPr>
          <w:bCs/>
        </w:rPr>
      </w:pPr>
      <w:r w:rsidRPr="008C6506">
        <w:rPr>
          <w:bCs/>
        </w:rPr>
        <w:t>In order to ensure compliance, procedures should be observed at all times under the provision of safe systems of work through safe and health environments, including information, training and supervision necessary to accomplish those goals.</w:t>
      </w:r>
    </w:p>
    <w:p w:rsidR="008C6506" w:rsidRPr="008C6506" w:rsidRDefault="008C6506" w:rsidP="008C6506">
      <w:pPr>
        <w:rPr>
          <w:b/>
          <w:bCs/>
        </w:rPr>
      </w:pPr>
      <w:r w:rsidRPr="008C6506">
        <w:rPr>
          <w:b/>
          <w:bCs/>
        </w:rPr>
        <w:t>1.5</w:t>
      </w:r>
      <w:r w:rsidRPr="008C6506">
        <w:rPr>
          <w:b/>
          <w:bCs/>
        </w:rPr>
        <w:tab/>
        <w:t>Safeguarding</w:t>
      </w:r>
    </w:p>
    <w:p w:rsidR="008C6506" w:rsidRPr="008C6506" w:rsidRDefault="008C6506" w:rsidP="008C6506">
      <w:pPr>
        <w:rPr>
          <w:bCs/>
        </w:rPr>
      </w:pPr>
      <w:r w:rsidRPr="008C6506">
        <w:rPr>
          <w:bCs/>
        </w:rPr>
        <w:t>The Thinking Schools Academy Trust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Thinking Schools Academy Trust.  Any safeguarding or child protection issues must be acted upon immediately by informing the Designated Child Protection O</w:t>
      </w:r>
      <w:bookmarkStart w:id="0" w:name="_GoBack"/>
      <w:bookmarkEnd w:id="0"/>
      <w:r w:rsidRPr="008C6506">
        <w:rPr>
          <w:bCs/>
        </w:rPr>
        <w:t>fficer.</w:t>
      </w:r>
    </w:p>
    <w:p w:rsidR="008C6506" w:rsidRPr="008C6506" w:rsidRDefault="008C6506" w:rsidP="008C6506">
      <w:pPr>
        <w:rPr>
          <w:b/>
          <w:bCs/>
        </w:rPr>
      </w:pPr>
      <w:r w:rsidRPr="008C6506">
        <w:rPr>
          <w:b/>
          <w:bCs/>
        </w:rPr>
        <w:t>1.6</w:t>
      </w:r>
      <w:r w:rsidRPr="008C6506">
        <w:rPr>
          <w:b/>
          <w:bCs/>
        </w:rPr>
        <w:tab/>
        <w:t>Data Protection</w:t>
      </w:r>
    </w:p>
    <w:p w:rsidR="008C6506" w:rsidRPr="008C6506" w:rsidRDefault="008C6506" w:rsidP="008C6506">
      <w:pPr>
        <w:rPr>
          <w:bCs/>
        </w:rPr>
      </w:pPr>
      <w:r w:rsidRPr="008C6506">
        <w:rPr>
          <w:bCs/>
        </w:rPr>
        <w:t xml:space="preserve">The Thinking Schools Academy Trust takes the responsibility of protecting and securing the data of Pupils, Staff, Parents and all associated individuals very seriously. The Trust requires all staff to complete data protection training and to adhere to its Data protection policies and procedures. All staff must ensure that if they suspect a data breach they must inform the Trust Data Protection officer immediately.  </w:t>
      </w:r>
    </w:p>
    <w:p w:rsidR="008C6506" w:rsidRPr="008C6506" w:rsidRDefault="008C6506" w:rsidP="008C6506">
      <w:pPr>
        <w:rPr>
          <w:bCs/>
        </w:rPr>
      </w:pPr>
      <w:r w:rsidRPr="008C6506">
        <w:rPr>
          <w:bCs/>
        </w:rPr>
        <w:t>This job description forms part of the contract of employment of the person appointed to the post.  The duties, responsibilities and accountabilities highlighted in this job description are indicative and may vary over time at the discretion of the Trust and the Executive Principal/Head of School.  This job description will be reviewed annually and is an integral part of the Appraisal and line management process.</w:t>
      </w:r>
    </w:p>
    <w:p w:rsidR="008C6506" w:rsidRPr="008C6506" w:rsidRDefault="008C6506" w:rsidP="008C6506">
      <w:pPr>
        <w:rPr>
          <w:b/>
          <w:bCs/>
        </w:rPr>
      </w:pPr>
    </w:p>
    <w:p w:rsidR="00BD4A60" w:rsidRPr="00BD4A60" w:rsidRDefault="00BD4A60" w:rsidP="00BD4A60"/>
    <w:p w:rsidR="0014005A" w:rsidRDefault="0014005A" w:rsidP="0014005A"/>
    <w:tbl>
      <w:tblPr>
        <w:tblW w:w="0" w:type="auto"/>
        <w:tblLayout w:type="fixed"/>
        <w:tblCellMar>
          <w:left w:w="0" w:type="dxa"/>
          <w:right w:w="0" w:type="dxa"/>
        </w:tblCellMar>
        <w:tblLook w:val="0000" w:firstRow="0" w:lastRow="0" w:firstColumn="0" w:lastColumn="0" w:noHBand="0" w:noVBand="0"/>
      </w:tblPr>
      <w:tblGrid>
        <w:gridCol w:w="8640"/>
      </w:tblGrid>
      <w:tr w:rsidR="0014005A" w:rsidRPr="0014005A" w:rsidTr="009F0D44">
        <w:tc>
          <w:tcPr>
            <w:tcW w:w="8640" w:type="dxa"/>
          </w:tcPr>
          <w:p w:rsidR="0014005A" w:rsidRPr="0014005A" w:rsidRDefault="0014005A" w:rsidP="009F0D44">
            <w:pPr>
              <w:snapToGrid w:val="0"/>
              <w:rPr>
                <w:sz w:val="22"/>
                <w:szCs w:val="22"/>
              </w:rPr>
            </w:pPr>
          </w:p>
        </w:tc>
      </w:tr>
    </w:tbl>
    <w:p w:rsidR="0014005A" w:rsidRPr="0014005A" w:rsidRDefault="0014005A" w:rsidP="0014005A">
      <w:pPr>
        <w:pBdr>
          <w:top w:val="single" w:sz="4" w:space="1" w:color="000000"/>
          <w:left w:val="single" w:sz="4" w:space="4" w:color="000000"/>
          <w:bottom w:val="single" w:sz="4" w:space="1" w:color="000000"/>
          <w:right w:val="single" w:sz="4" w:space="12" w:color="000000"/>
        </w:pBdr>
        <w:rPr>
          <w:sz w:val="22"/>
          <w:szCs w:val="22"/>
        </w:rPr>
      </w:pPr>
      <w:r w:rsidRPr="0014005A">
        <w:rPr>
          <w:sz w:val="22"/>
          <w:szCs w:val="22"/>
        </w:rPr>
        <w:t xml:space="preserve">This job description sets out </w:t>
      </w:r>
      <w:r w:rsidR="00564D76">
        <w:rPr>
          <w:sz w:val="22"/>
          <w:szCs w:val="22"/>
        </w:rPr>
        <w:t xml:space="preserve">the main duties of the post.  </w:t>
      </w:r>
      <w:r w:rsidRPr="0014005A">
        <w:rPr>
          <w:sz w:val="22"/>
          <w:szCs w:val="22"/>
        </w:rPr>
        <w:t xml:space="preserve">Other </w:t>
      </w:r>
      <w:r w:rsidRPr="0014005A">
        <w:rPr>
          <w:sz w:val="22"/>
          <w:szCs w:val="22"/>
          <w:lang w:val="en-US"/>
        </w:rPr>
        <w:t xml:space="preserve">duties may be assigned by the Principal, </w:t>
      </w:r>
      <w:r w:rsidRPr="0014005A">
        <w:rPr>
          <w:sz w:val="22"/>
          <w:szCs w:val="22"/>
        </w:rPr>
        <w:t xml:space="preserve">without changing the general character of the post or level of responsibility. Roles and responsibilities may change as the Academy develops. </w:t>
      </w:r>
    </w:p>
    <w:p w:rsidR="0014005A" w:rsidRPr="0014005A" w:rsidRDefault="0014005A" w:rsidP="0014005A">
      <w:pPr>
        <w:pBdr>
          <w:top w:val="single" w:sz="4" w:space="1" w:color="000000"/>
          <w:left w:val="single" w:sz="4" w:space="4" w:color="000000"/>
          <w:bottom w:val="single" w:sz="4" w:space="1" w:color="000000"/>
          <w:right w:val="single" w:sz="4" w:space="12" w:color="000000"/>
        </w:pBdr>
        <w:rPr>
          <w:sz w:val="22"/>
          <w:szCs w:val="22"/>
        </w:rPr>
      </w:pPr>
      <w:r w:rsidRPr="0014005A">
        <w:rPr>
          <w:sz w:val="22"/>
          <w:szCs w:val="22"/>
        </w:rPr>
        <w:t>These responsibilities will be discussed annually as part of annual performance review and are subject to change</w:t>
      </w:r>
    </w:p>
    <w:p w:rsidR="00582BA7" w:rsidRPr="0014005A" w:rsidRDefault="00582BA7" w:rsidP="00582BA7">
      <w:pPr>
        <w:rPr>
          <w:sz w:val="22"/>
          <w:szCs w:val="22"/>
        </w:rPr>
      </w:pPr>
    </w:p>
    <w:sectPr w:rsidR="00582BA7" w:rsidRPr="0014005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D44" w:rsidRDefault="009F0D44" w:rsidP="00582BA7">
      <w:pPr>
        <w:spacing w:after="0" w:line="240" w:lineRule="auto"/>
      </w:pPr>
      <w:r>
        <w:separator/>
      </w:r>
    </w:p>
  </w:endnote>
  <w:endnote w:type="continuationSeparator" w:id="0">
    <w:p w:rsidR="009F0D44" w:rsidRDefault="009F0D44" w:rsidP="0058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D44" w:rsidRDefault="009F0D44" w:rsidP="00582BA7">
      <w:pPr>
        <w:spacing w:after="0" w:line="240" w:lineRule="auto"/>
      </w:pPr>
      <w:r>
        <w:separator/>
      </w:r>
    </w:p>
  </w:footnote>
  <w:footnote w:type="continuationSeparator" w:id="0">
    <w:p w:rsidR="009F0D44" w:rsidRDefault="009F0D44" w:rsidP="00582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D44" w:rsidRDefault="009F0D44" w:rsidP="00BD4A60">
    <w:pPr>
      <w:jc w:val="center"/>
      <w:rPr>
        <w:noProof/>
        <w:lang w:eastAsia="en-GB"/>
      </w:rPr>
    </w:pPr>
    <w:r>
      <w:rPr>
        <w:noProof/>
        <w:lang w:eastAsia="en-GB"/>
      </w:rPr>
      <w:drawing>
        <wp:anchor distT="0" distB="0" distL="114300" distR="114300" simplePos="0" relativeHeight="251658240" behindDoc="1" locked="0" layoutInCell="1" allowOverlap="1" wp14:anchorId="004280F8" wp14:editId="125A48F8">
          <wp:simplePos x="0" y="0"/>
          <wp:positionH relativeFrom="column">
            <wp:posOffset>4867275</wp:posOffset>
          </wp:positionH>
          <wp:positionV relativeFrom="paragraph">
            <wp:posOffset>-311577</wp:posOffset>
          </wp:positionV>
          <wp:extent cx="1403985" cy="1309797"/>
          <wp:effectExtent l="0" t="0" r="571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200" cy="1337052"/>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t>The Victory Academy</w:t>
    </w:r>
  </w:p>
  <w:p w:rsidR="009F0D44" w:rsidRDefault="009F0D44" w:rsidP="00BD4A60">
    <w:pPr>
      <w:jc w:val="center"/>
    </w:pPr>
    <w:r>
      <w:rPr>
        <w:noProof/>
        <w:lang w:eastAsia="en-GB"/>
      </w:rPr>
      <w:t xml:space="preserve">(Formerly Bishops </w:t>
    </w:r>
  </w:p>
  <w:p w:rsidR="009F0D44" w:rsidRDefault="009F0D44" w:rsidP="00582BA7">
    <w:pPr>
      <w:jc w:val="center"/>
      <w:rPr>
        <w:b/>
        <w:sz w:val="28"/>
        <w:szCs w:val="28"/>
      </w:rPr>
    </w:pPr>
    <w:r>
      <w:rPr>
        <w:b/>
        <w:sz w:val="28"/>
        <w:szCs w:val="28"/>
      </w:rPr>
      <w:t xml:space="preserve">Graduate Learning Assistant - </w:t>
    </w:r>
    <w:r w:rsidRPr="00582BA7">
      <w:rPr>
        <w:b/>
        <w:sz w:val="28"/>
        <w:szCs w:val="28"/>
      </w:rPr>
      <w:t>Job Description</w:t>
    </w:r>
  </w:p>
  <w:p w:rsidR="009F0D44" w:rsidRPr="00582BA7" w:rsidRDefault="008C6506" w:rsidP="00582BA7">
    <w:pPr>
      <w:jc w:val="center"/>
      <w:rPr>
        <w:b/>
        <w:sz w:val="28"/>
        <w:szCs w:val="28"/>
      </w:rPr>
    </w:pPr>
    <w:r>
      <w:rPr>
        <w:b/>
        <w:sz w:val="28"/>
        <w:szCs w:val="28"/>
      </w:rPr>
      <w:pict>
        <v:rect id="_x0000_i1025" style="width:0;height:1.5pt" o:hralign="center" o:hrstd="t" o:hr="t" fillcolor="#a0a0a0" stroked="f"/>
      </w:pict>
    </w:r>
  </w:p>
  <w:p w:rsidR="009F0D44" w:rsidRDefault="009F0D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D2162E4"/>
    <w:multiLevelType w:val="hybridMultilevel"/>
    <w:tmpl w:val="2620EB3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560472"/>
    <w:multiLevelType w:val="hybridMultilevel"/>
    <w:tmpl w:val="4DC27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CB1E67"/>
    <w:multiLevelType w:val="hybridMultilevel"/>
    <w:tmpl w:val="1F8C9064"/>
    <w:lvl w:ilvl="0" w:tplc="FA4273B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85EA6"/>
    <w:multiLevelType w:val="hybridMultilevel"/>
    <w:tmpl w:val="7C425C56"/>
    <w:lvl w:ilvl="0" w:tplc="FA4273B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55627B"/>
    <w:multiLevelType w:val="hybridMultilevel"/>
    <w:tmpl w:val="BC382838"/>
    <w:lvl w:ilvl="0" w:tplc="FA4273B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A7"/>
    <w:rsid w:val="000D6469"/>
    <w:rsid w:val="0014005A"/>
    <w:rsid w:val="001A48D6"/>
    <w:rsid w:val="00346F17"/>
    <w:rsid w:val="003C1313"/>
    <w:rsid w:val="00564D76"/>
    <w:rsid w:val="00582BA7"/>
    <w:rsid w:val="00711312"/>
    <w:rsid w:val="00731467"/>
    <w:rsid w:val="00736AED"/>
    <w:rsid w:val="008C6506"/>
    <w:rsid w:val="009F0D44"/>
    <w:rsid w:val="00A21BAA"/>
    <w:rsid w:val="00B77CA3"/>
    <w:rsid w:val="00BD4A60"/>
    <w:rsid w:val="00CE44B5"/>
    <w:rsid w:val="00DC28F1"/>
    <w:rsid w:val="00E11475"/>
    <w:rsid w:val="00ED3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6E16FEF3"/>
  <w15:chartTrackingRefBased/>
  <w15:docId w15:val="{346DFB06-BF54-4548-9EE5-6E3AE64E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BA7"/>
  </w:style>
  <w:style w:type="paragraph" w:styleId="Heading1">
    <w:name w:val="heading 1"/>
    <w:basedOn w:val="Normal"/>
    <w:next w:val="Normal"/>
    <w:link w:val="Heading1Char"/>
    <w:uiPriority w:val="9"/>
    <w:qFormat/>
    <w:rsid w:val="00582BA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82BA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82BA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82BA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82BA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82BA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82BA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582BA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82BA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B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82BA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82BA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82BA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82BA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82BA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82BA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582BA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82BA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82BA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82BA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82BA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82BA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82BA7"/>
    <w:rPr>
      <w:rFonts w:asciiTheme="majorHAnsi" w:eastAsiaTheme="majorEastAsia" w:hAnsiTheme="majorHAnsi" w:cstheme="majorBidi"/>
      <w:sz w:val="24"/>
      <w:szCs w:val="24"/>
    </w:rPr>
  </w:style>
  <w:style w:type="character" w:styleId="Strong">
    <w:name w:val="Strong"/>
    <w:basedOn w:val="DefaultParagraphFont"/>
    <w:uiPriority w:val="22"/>
    <w:qFormat/>
    <w:rsid w:val="00582BA7"/>
    <w:rPr>
      <w:b/>
      <w:bCs/>
    </w:rPr>
  </w:style>
  <w:style w:type="character" w:styleId="Emphasis">
    <w:name w:val="Emphasis"/>
    <w:basedOn w:val="DefaultParagraphFont"/>
    <w:uiPriority w:val="20"/>
    <w:qFormat/>
    <w:rsid w:val="00582BA7"/>
    <w:rPr>
      <w:i/>
      <w:iCs/>
    </w:rPr>
  </w:style>
  <w:style w:type="paragraph" w:styleId="NoSpacing">
    <w:name w:val="No Spacing"/>
    <w:uiPriority w:val="1"/>
    <w:qFormat/>
    <w:rsid w:val="00582BA7"/>
    <w:pPr>
      <w:spacing w:after="0" w:line="240" w:lineRule="auto"/>
    </w:pPr>
  </w:style>
  <w:style w:type="paragraph" w:styleId="Quote">
    <w:name w:val="Quote"/>
    <w:basedOn w:val="Normal"/>
    <w:next w:val="Normal"/>
    <w:link w:val="QuoteChar"/>
    <w:uiPriority w:val="29"/>
    <w:qFormat/>
    <w:rsid w:val="00582BA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82BA7"/>
    <w:rPr>
      <w:i/>
      <w:iCs/>
      <w:color w:val="404040" w:themeColor="text1" w:themeTint="BF"/>
    </w:rPr>
  </w:style>
  <w:style w:type="paragraph" w:styleId="IntenseQuote">
    <w:name w:val="Intense Quote"/>
    <w:basedOn w:val="Normal"/>
    <w:next w:val="Normal"/>
    <w:link w:val="IntenseQuoteChar"/>
    <w:uiPriority w:val="30"/>
    <w:qFormat/>
    <w:rsid w:val="00582BA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82BA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82BA7"/>
    <w:rPr>
      <w:i/>
      <w:iCs/>
      <w:color w:val="404040" w:themeColor="text1" w:themeTint="BF"/>
    </w:rPr>
  </w:style>
  <w:style w:type="character" w:styleId="IntenseEmphasis">
    <w:name w:val="Intense Emphasis"/>
    <w:basedOn w:val="DefaultParagraphFont"/>
    <w:uiPriority w:val="21"/>
    <w:qFormat/>
    <w:rsid w:val="00582BA7"/>
    <w:rPr>
      <w:b/>
      <w:bCs/>
      <w:i/>
      <w:iCs/>
    </w:rPr>
  </w:style>
  <w:style w:type="character" w:styleId="SubtleReference">
    <w:name w:val="Subtle Reference"/>
    <w:basedOn w:val="DefaultParagraphFont"/>
    <w:uiPriority w:val="31"/>
    <w:qFormat/>
    <w:rsid w:val="00582BA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82BA7"/>
    <w:rPr>
      <w:b/>
      <w:bCs/>
      <w:smallCaps/>
      <w:spacing w:val="5"/>
      <w:u w:val="single"/>
    </w:rPr>
  </w:style>
  <w:style w:type="character" w:styleId="BookTitle">
    <w:name w:val="Book Title"/>
    <w:basedOn w:val="DefaultParagraphFont"/>
    <w:uiPriority w:val="33"/>
    <w:qFormat/>
    <w:rsid w:val="00582BA7"/>
    <w:rPr>
      <w:b/>
      <w:bCs/>
      <w:smallCaps/>
    </w:rPr>
  </w:style>
  <w:style w:type="paragraph" w:styleId="TOCHeading">
    <w:name w:val="TOC Heading"/>
    <w:basedOn w:val="Heading1"/>
    <w:next w:val="Normal"/>
    <w:uiPriority w:val="39"/>
    <w:semiHidden/>
    <w:unhideWhenUsed/>
    <w:qFormat/>
    <w:rsid w:val="00582BA7"/>
    <w:pPr>
      <w:outlineLvl w:val="9"/>
    </w:pPr>
  </w:style>
  <w:style w:type="paragraph" w:styleId="Header">
    <w:name w:val="header"/>
    <w:basedOn w:val="Normal"/>
    <w:link w:val="HeaderChar"/>
    <w:uiPriority w:val="99"/>
    <w:unhideWhenUsed/>
    <w:rsid w:val="00582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BA7"/>
  </w:style>
  <w:style w:type="paragraph" w:styleId="Footer">
    <w:name w:val="footer"/>
    <w:basedOn w:val="Normal"/>
    <w:link w:val="FooterChar"/>
    <w:uiPriority w:val="99"/>
    <w:unhideWhenUsed/>
    <w:rsid w:val="00582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BA7"/>
  </w:style>
  <w:style w:type="character" w:styleId="PlaceholderText">
    <w:name w:val="Placeholder Text"/>
    <w:basedOn w:val="DefaultParagraphFont"/>
    <w:uiPriority w:val="99"/>
    <w:semiHidden/>
    <w:rsid w:val="0014005A"/>
    <w:rPr>
      <w:color w:val="808080"/>
    </w:rPr>
  </w:style>
  <w:style w:type="paragraph" w:styleId="BalloonText">
    <w:name w:val="Balloon Text"/>
    <w:basedOn w:val="Normal"/>
    <w:link w:val="BalloonTextChar"/>
    <w:uiPriority w:val="99"/>
    <w:semiHidden/>
    <w:unhideWhenUsed/>
    <w:rsid w:val="003C1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313"/>
    <w:rPr>
      <w:rFonts w:ascii="Segoe UI" w:hAnsi="Segoe UI" w:cs="Segoe UI"/>
      <w:sz w:val="18"/>
      <w:szCs w:val="18"/>
    </w:rPr>
  </w:style>
  <w:style w:type="paragraph" w:styleId="ListParagraph">
    <w:name w:val="List Paragraph"/>
    <w:basedOn w:val="Normal"/>
    <w:qFormat/>
    <w:rsid w:val="003C1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F6793-8BF0-4F5A-A5D3-4B6552127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Bishop of Rochester Academy</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Villalta</dc:creator>
  <cp:keywords/>
  <dc:description/>
  <cp:lastModifiedBy>Arnold, Simon</cp:lastModifiedBy>
  <cp:revision>6</cp:revision>
  <cp:lastPrinted>2015-06-11T11:38:00Z</cp:lastPrinted>
  <dcterms:created xsi:type="dcterms:W3CDTF">2018-09-12T11:52:00Z</dcterms:created>
  <dcterms:modified xsi:type="dcterms:W3CDTF">2019-06-24T13:12:00Z</dcterms:modified>
</cp:coreProperties>
</file>