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E5" w:rsidRPr="00463649" w:rsidRDefault="002E0792">
      <w:pPr>
        <w:pStyle w:val="Title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-1143000</wp:posOffset>
            </wp:positionH>
            <wp:positionV relativeFrom="margin">
              <wp:posOffset>-361950</wp:posOffset>
            </wp:positionV>
            <wp:extent cx="7534910" cy="2924175"/>
            <wp:effectExtent l="0" t="0" r="889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0A7199" w:rsidRPr="00463649" w:rsidRDefault="000A7199">
      <w:pPr>
        <w:pStyle w:val="Title"/>
        <w:rPr>
          <w:rFonts w:ascii="Calibri" w:hAnsi="Calibri" w:cs="Arial"/>
          <w:sz w:val="22"/>
          <w:szCs w:val="22"/>
        </w:rPr>
      </w:pPr>
    </w:p>
    <w:p w:rsidR="000A7199" w:rsidRPr="00463649" w:rsidRDefault="000A7199">
      <w:pPr>
        <w:pStyle w:val="Subtitle"/>
        <w:jc w:val="both"/>
        <w:rPr>
          <w:rFonts w:ascii="Calibri" w:hAnsi="Calibri" w:cs="Arial"/>
          <w:sz w:val="22"/>
          <w:szCs w:val="22"/>
        </w:rPr>
      </w:pPr>
    </w:p>
    <w:p w:rsidR="00002E14" w:rsidRPr="00463649" w:rsidRDefault="00002E14" w:rsidP="00002E14">
      <w:pPr>
        <w:pStyle w:val="Title"/>
        <w:rPr>
          <w:rFonts w:ascii="Calibri" w:hAnsi="Calibri"/>
          <w:color w:val="0070C0"/>
          <w:sz w:val="32"/>
          <w:szCs w:val="32"/>
        </w:rPr>
      </w:pPr>
    </w:p>
    <w:p w:rsidR="00002E14" w:rsidRPr="002E0792" w:rsidRDefault="00002E14" w:rsidP="00002E14">
      <w:pPr>
        <w:pStyle w:val="Title"/>
        <w:rPr>
          <w:rFonts w:ascii="Calibri" w:hAnsi="Calibri"/>
          <w:color w:val="003399"/>
          <w:sz w:val="36"/>
          <w:szCs w:val="32"/>
        </w:rPr>
      </w:pPr>
      <w:r w:rsidRPr="002E0792">
        <w:rPr>
          <w:rFonts w:ascii="Calibri" w:hAnsi="Calibri"/>
          <w:color w:val="003399"/>
          <w:sz w:val="36"/>
          <w:szCs w:val="32"/>
        </w:rPr>
        <w:t>Class Teacher</w:t>
      </w:r>
    </w:p>
    <w:p w:rsidR="00002E14" w:rsidRPr="002E0792" w:rsidRDefault="00002E14" w:rsidP="00002E14">
      <w:pPr>
        <w:pStyle w:val="Title"/>
        <w:rPr>
          <w:rFonts w:ascii="Calibri" w:hAnsi="Calibri"/>
          <w:b w:val="0"/>
          <w:color w:val="003399"/>
          <w:sz w:val="32"/>
          <w:szCs w:val="32"/>
        </w:rPr>
      </w:pPr>
      <w:r w:rsidRPr="002E0792">
        <w:rPr>
          <w:rFonts w:ascii="Calibri" w:hAnsi="Calibri"/>
          <w:b w:val="0"/>
          <w:color w:val="003399"/>
          <w:sz w:val="32"/>
          <w:szCs w:val="32"/>
        </w:rPr>
        <w:t xml:space="preserve">Job purpose including main duties and responsibilities </w:t>
      </w:r>
    </w:p>
    <w:p w:rsidR="00002E14" w:rsidRPr="00463649" w:rsidRDefault="00002E14" w:rsidP="00002E14">
      <w:pPr>
        <w:pStyle w:val="Title"/>
        <w:rPr>
          <w:rFonts w:ascii="Calibri" w:hAnsi="Calibri"/>
          <w:color w:val="0070C0"/>
          <w:sz w:val="20"/>
          <w:szCs w:val="20"/>
          <w:u w:val="single"/>
        </w:rPr>
      </w:pPr>
    </w:p>
    <w:p w:rsidR="00002E14" w:rsidRPr="00463649" w:rsidRDefault="00002E14" w:rsidP="00002E14">
      <w:pPr>
        <w:pStyle w:val="BodyText"/>
        <w:jc w:val="both"/>
        <w:rPr>
          <w:rFonts w:ascii="Calibri" w:hAnsi="Calibri"/>
          <w:sz w:val="22"/>
          <w:szCs w:val="22"/>
        </w:rPr>
      </w:pPr>
      <w:r w:rsidRPr="00463649">
        <w:rPr>
          <w:rFonts w:ascii="Calibri" w:hAnsi="Calibri"/>
          <w:sz w:val="22"/>
          <w:szCs w:val="22"/>
        </w:rPr>
        <w:t xml:space="preserve">In addition to the General Professional duties set out in the School Teachers’ Pay and Conditions Document the following duties are attached to the post of Class Teacher. </w:t>
      </w:r>
    </w:p>
    <w:p w:rsidR="00002E14" w:rsidRPr="00463649" w:rsidRDefault="00002E14" w:rsidP="00002E14">
      <w:pPr>
        <w:jc w:val="both"/>
        <w:rPr>
          <w:rFonts w:ascii="Calibri" w:hAnsi="Calibri"/>
          <w:sz w:val="22"/>
          <w:szCs w:val="22"/>
        </w:rPr>
      </w:pPr>
    </w:p>
    <w:p w:rsidR="00002E14" w:rsidRPr="00463649" w:rsidRDefault="00002E14" w:rsidP="00002E14">
      <w:pPr>
        <w:jc w:val="both"/>
        <w:rPr>
          <w:rFonts w:ascii="Calibri" w:hAnsi="Calibri"/>
          <w:b/>
          <w:sz w:val="22"/>
          <w:szCs w:val="22"/>
        </w:rPr>
      </w:pPr>
      <w:r w:rsidRPr="00463649">
        <w:rPr>
          <w:rFonts w:ascii="Calibri" w:hAnsi="Calibri"/>
          <w:b/>
          <w:sz w:val="22"/>
          <w:szCs w:val="22"/>
        </w:rPr>
        <w:t>Main objectives of the post</w:t>
      </w:r>
    </w:p>
    <w:p w:rsidR="000A7199" w:rsidRPr="00463649" w:rsidRDefault="000A7199">
      <w:pPr>
        <w:pStyle w:val="BodyText"/>
        <w:rPr>
          <w:rFonts w:ascii="Calibri" w:hAnsi="Calibri" w:cs="Arial"/>
          <w:sz w:val="22"/>
          <w:szCs w:val="22"/>
        </w:rPr>
      </w:pPr>
    </w:p>
    <w:p w:rsidR="000A7199" w:rsidRPr="002E0792" w:rsidRDefault="000A7199" w:rsidP="002E0792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2E0792">
        <w:rPr>
          <w:rFonts w:ascii="Calibri" w:hAnsi="Calibri" w:cs="Arial"/>
          <w:color w:val="003399"/>
          <w:sz w:val="32"/>
          <w:szCs w:val="22"/>
        </w:rPr>
        <w:t>General Responsibility</w:t>
      </w:r>
    </w:p>
    <w:p w:rsidR="00A20952" w:rsidRPr="00463649" w:rsidRDefault="00A20952">
      <w:pPr>
        <w:pStyle w:val="BodyText"/>
        <w:rPr>
          <w:rFonts w:ascii="Calibri" w:hAnsi="Calibri" w:cs="Arial"/>
          <w:sz w:val="22"/>
          <w:szCs w:val="22"/>
          <w:u w:val="single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be the class teacher of the allocated class, displaying a high level of professional ability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:rsidR="002E0792" w:rsidRPr="00463649" w:rsidRDefault="002E0792" w:rsidP="002E0792">
      <w:pPr>
        <w:pStyle w:val="BodyText"/>
        <w:ind w:left="360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be responsible for the education and welfare of this group of children in accordance with the Terms and Conditions of Employment, having due regard to the requirements of the National Curriculum,</w:t>
      </w:r>
      <w:r w:rsidR="00D44EF8" w:rsidRPr="00463649">
        <w:rPr>
          <w:rFonts w:ascii="Calibri" w:hAnsi="Calibri" w:cs="Arial"/>
          <w:b w:val="0"/>
          <w:bCs w:val="0"/>
          <w:sz w:val="22"/>
          <w:szCs w:val="22"/>
        </w:rPr>
        <w:t xml:space="preserve"> National Primary Strategy and Academy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 Policies. 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be responsible for planning, assessing and ev</w:t>
      </w:r>
      <w:r w:rsidR="00A20952" w:rsidRPr="00463649">
        <w:rPr>
          <w:rFonts w:ascii="Calibri" w:hAnsi="Calibri" w:cs="Arial"/>
          <w:b w:val="0"/>
          <w:bCs w:val="0"/>
          <w:sz w:val="22"/>
          <w:szCs w:val="22"/>
        </w:rPr>
        <w:t>aluating the work of each child and keeping appropriate records.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ensure that a high standard of physical and emotional care for all children is maintained.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maintain an effective working environment displaying children’s work and relevant resource material attractively.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provide advice and support to parents about their child’s development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ensure every effort is made to develop and maintain good relationships with parents and the local community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assist with the running of appropriate extra-curricular activities in conjunction with other members of staff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share in the corporate responsibility for the well being and discipline of all pupils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4A515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enforce the Academie</w:t>
      </w:r>
      <w:r w:rsidR="00965F0F" w:rsidRPr="00463649">
        <w:rPr>
          <w:rFonts w:ascii="Calibri" w:hAnsi="Calibri" w:cs="Arial"/>
          <w:b w:val="0"/>
          <w:bCs w:val="0"/>
          <w:sz w:val="22"/>
          <w:szCs w:val="22"/>
        </w:rPr>
        <w:t>s</w:t>
      </w:r>
      <w:r w:rsidR="000A7199" w:rsidRPr="00463649">
        <w:rPr>
          <w:rFonts w:ascii="Calibri" w:hAnsi="Calibri" w:cs="Arial"/>
          <w:b w:val="0"/>
          <w:bCs w:val="0"/>
          <w:sz w:val="22"/>
          <w:szCs w:val="22"/>
        </w:rPr>
        <w:t xml:space="preserve"> Behaviour Policy as agreed by staff and governors to ensure good conduct and behaviour of all the children in school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A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 xml:space="preserve">ll </w:t>
      </w:r>
      <w:r w:rsidR="002772DF" w:rsidRPr="00463649">
        <w:rPr>
          <w:rFonts w:ascii="Calibri" w:hAnsi="Calibri" w:cs="Arial"/>
          <w:b w:val="0"/>
          <w:bCs w:val="0"/>
          <w:sz w:val="22"/>
          <w:szCs w:val="22"/>
        </w:rPr>
        <w:t xml:space="preserve">staff have 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corporate responsibility for 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 xml:space="preserve">all </w:t>
      </w:r>
      <w:r w:rsidRPr="00463649">
        <w:rPr>
          <w:rFonts w:ascii="Calibri" w:hAnsi="Calibri" w:cs="Arial"/>
          <w:b w:val="0"/>
          <w:bCs w:val="0"/>
          <w:sz w:val="22"/>
          <w:szCs w:val="22"/>
        </w:rPr>
        <w:t>children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0A7199" w:rsidRDefault="000A7199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lastRenderedPageBreak/>
        <w:t xml:space="preserve">To </w:t>
      </w:r>
      <w:r w:rsidR="00A20952" w:rsidRPr="00463649">
        <w:rPr>
          <w:rFonts w:ascii="Calibri" w:hAnsi="Calibri" w:cs="Arial"/>
          <w:b w:val="0"/>
          <w:bCs w:val="0"/>
          <w:sz w:val="22"/>
          <w:szCs w:val="22"/>
        </w:rPr>
        <w:t>establish links with outside agencies e.</w:t>
      </w:r>
      <w:r w:rsidR="005240B9" w:rsidRPr="00463649">
        <w:rPr>
          <w:rFonts w:ascii="Calibri" w:hAnsi="Calibri" w:cs="Arial"/>
          <w:b w:val="0"/>
          <w:bCs w:val="0"/>
          <w:sz w:val="22"/>
          <w:szCs w:val="22"/>
        </w:rPr>
        <w:t>g.</w:t>
      </w:r>
      <w:r w:rsidR="00A20952" w:rsidRPr="00463649">
        <w:rPr>
          <w:rFonts w:ascii="Calibri" w:hAnsi="Calibri" w:cs="Arial"/>
          <w:b w:val="0"/>
          <w:bCs w:val="0"/>
          <w:sz w:val="22"/>
          <w:szCs w:val="22"/>
        </w:rPr>
        <w:t xml:space="preserve"> Pre-school settings</w:t>
      </w:r>
      <w:r w:rsidR="00C4636B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A20952" w:rsidRDefault="00A20952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 xml:space="preserve">To undertake relevant training and professional development in line with the school development plan. </w:t>
      </w:r>
    </w:p>
    <w:p w:rsidR="002E0792" w:rsidRPr="00463649" w:rsidRDefault="002E0792" w:rsidP="002E0792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A20952" w:rsidRPr="00463649" w:rsidRDefault="00C4636B">
      <w:pPr>
        <w:pStyle w:val="BodyText"/>
        <w:numPr>
          <w:ilvl w:val="0"/>
          <w:numId w:val="1"/>
        </w:numPr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463649">
        <w:rPr>
          <w:rFonts w:ascii="Calibri" w:hAnsi="Calibri" w:cs="Arial"/>
          <w:b w:val="0"/>
          <w:bCs w:val="0"/>
          <w:sz w:val="22"/>
          <w:szCs w:val="22"/>
        </w:rPr>
        <w:t>To be able to deal</w:t>
      </w:r>
      <w:r w:rsidR="00A20952" w:rsidRPr="00463649">
        <w:rPr>
          <w:rFonts w:ascii="Calibri" w:hAnsi="Calibri" w:cs="Arial"/>
          <w:b w:val="0"/>
          <w:bCs w:val="0"/>
          <w:sz w:val="22"/>
          <w:szCs w:val="22"/>
        </w:rPr>
        <w:t xml:space="preserve"> with challenging behaviour</w:t>
      </w:r>
      <w:r w:rsidR="00300901" w:rsidRPr="00463649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E41D3A" w:rsidRDefault="00E41D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br w:type="page"/>
      </w:r>
    </w:p>
    <w:p w:rsidR="00E41D3A" w:rsidRDefault="00E41D3A" w:rsidP="00E41D3A">
      <w:pPr>
        <w:autoSpaceDE w:val="0"/>
        <w:autoSpaceDN w:val="0"/>
        <w:adjustRightInd w:val="0"/>
        <w:spacing w:after="142"/>
        <w:jc w:val="center"/>
        <w:rPr>
          <w:rFonts w:asciiTheme="minorHAnsi" w:hAnsiTheme="minorHAnsi" w:cs="AvantGarde2-Bold"/>
          <w:b/>
          <w:bCs/>
          <w:color w:val="003399"/>
          <w:sz w:val="32"/>
          <w:szCs w:val="22"/>
        </w:rPr>
      </w:pPr>
      <w:r>
        <w:rPr>
          <w:rFonts w:asciiTheme="minorHAnsi" w:hAnsiTheme="minorHAnsi" w:cs="AvantGarde2-Bold"/>
          <w:b/>
          <w:bCs/>
          <w:color w:val="003399"/>
          <w:sz w:val="32"/>
          <w:szCs w:val="22"/>
        </w:rPr>
        <w:lastRenderedPageBreak/>
        <w:t>Person Specification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Pr="00E41D3A" w:rsidRDefault="00E41D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b/>
                <w:sz w:val="22"/>
                <w:szCs w:val="22"/>
              </w:rPr>
              <w:t>E/D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ualified Teacher Status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Evidence of recent relevant training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Evidence of continued professional development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</w:tbl>
    <w:p w:rsidR="00E41D3A" w:rsidRPr="00E41D3A" w:rsidRDefault="00E41D3A" w:rsidP="00E41D3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Pr="00E41D3A" w:rsidRDefault="00E41D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b/>
                <w:sz w:val="22"/>
                <w:szCs w:val="22"/>
              </w:rPr>
              <w:t>Experience, Knowledge and Skills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b/>
                <w:sz w:val="22"/>
                <w:szCs w:val="22"/>
              </w:rPr>
              <w:t>E/D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Teaching a wide ability range, high achievers and children with learning difficulties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Teaching across the primary phase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Planning for school improvement and managing a curriculum budget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Preparation and administration of statutory National Curriculum tests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Building community links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Successful leadership of a curriculum subject or area of learning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Highly effective lesson planning, assessing, record keeping and reporting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Create an attractive, highly stimulating learning environment, taking into account the needs of all children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Uses pupil targets and success criteria to promote pupil progress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Knowledge of statutory National Curriculum requirements for the EYFS, Key Stage 1 and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Knowledge of the statutory requirements of legislation concerning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Equal Opportunities, Health and </w:t>
            </w: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Safety, Inclusion and Child Protection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Able to organise and manage time effectively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The ability to work as a cohesive team member offering support to colleagues and leading by example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High professional skills: reflective, enthusiastic, respectful, confidential, eagerness to learn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The ability to establish and maintain good relationships with pupils, staff, parents and governors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The ability to use IT effectively to promote good teaching and learning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3A" w:rsidRPr="00E41D3A" w:rsidRDefault="00E41D3A" w:rsidP="00E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41D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Secure strategies that make learning exciting for children within a nurturing atmosphere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E41D3A" w:rsidRP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3A" w:rsidRPr="00E41D3A" w:rsidRDefault="00E41D3A" w:rsidP="00E41D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 xml:space="preserve">Clear written and spoken English to communicate effectively with a range of audiences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3A" w:rsidRPr="00E41D3A" w:rsidRDefault="00E41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D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</w:tbl>
    <w:p w:rsidR="00E41D3A" w:rsidRDefault="00E41D3A" w:rsidP="00E41D3A">
      <w:pPr>
        <w:rPr>
          <w:rFonts w:ascii="Tahoma" w:hAnsi="Tahoma"/>
          <w:sz w:val="20"/>
          <w:szCs w:val="20"/>
        </w:rPr>
      </w:pPr>
      <w:r>
        <w:br w:type="page"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Personal Attributes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E/D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Resilient, flexible and open to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stay calm under pressure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think strategically and creatively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solve problems within the framework of the policies in the academy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communication skills (written, oral and presentation)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commitment to safeguarding and promoting the wellbeing of children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contribute and work as part of a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Professional, honest and loyal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commitment to improving the learning, wellbeing and safety of pupils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commitment to equality and inclusion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build and maintain purposeful relationships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 to training to improve professional practice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:rsidR="00E41D3A" w:rsidRDefault="00E41D3A" w:rsidP="00E41D3A">
      <w:pPr>
        <w:ind w:lef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Special Requirements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E/D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able and willing to work outside normal hours, if required, in order to meet the demands of the role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E41D3A" w:rsidTr="00E41D3A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Suitability to work with children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3A" w:rsidRDefault="00E41D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</w:tbl>
    <w:p w:rsidR="00E41D3A" w:rsidRDefault="00E41D3A" w:rsidP="00E41D3A">
      <w:pPr>
        <w:spacing w:after="142"/>
        <w:ind w:left="567"/>
        <w:rPr>
          <w:rFonts w:asciiTheme="minorHAnsi" w:hAnsiTheme="minorHAnsi"/>
          <w:b/>
          <w:sz w:val="22"/>
          <w:szCs w:val="22"/>
        </w:rPr>
      </w:pPr>
    </w:p>
    <w:p w:rsidR="00E41D3A" w:rsidRDefault="00E41D3A" w:rsidP="00E41D3A">
      <w:pPr>
        <w:spacing w:after="142"/>
        <w:ind w:left="-45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</w:t>
      </w:r>
    </w:p>
    <w:p w:rsidR="00E41D3A" w:rsidRDefault="00E41D3A" w:rsidP="00E41D3A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E/D</w:t>
      </w:r>
      <w:r>
        <w:rPr>
          <w:rFonts w:asciiTheme="minorHAnsi" w:hAnsiTheme="minorHAnsi"/>
          <w:sz w:val="22"/>
          <w:szCs w:val="22"/>
        </w:rPr>
        <w:tab/>
        <w:t>Essential or Desirable</w:t>
      </w:r>
    </w:p>
    <w:p w:rsidR="00397CFF" w:rsidRPr="00463649" w:rsidRDefault="00397CFF" w:rsidP="00397CFF">
      <w:pPr>
        <w:pStyle w:val="BodyText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sectPr w:rsidR="00397CFF" w:rsidRPr="00463649" w:rsidSect="002E0792"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49" w:rsidRDefault="00463649">
      <w:r>
        <w:separator/>
      </w:r>
    </w:p>
  </w:endnote>
  <w:endnote w:type="continuationSeparator" w:id="0">
    <w:p w:rsidR="00463649" w:rsidRDefault="0046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B9" w:rsidRDefault="00524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0B9" w:rsidRDefault="00524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92" w:rsidRPr="002E0792" w:rsidRDefault="002E0792" w:rsidP="002E0792">
    <w:pPr>
      <w:pStyle w:val="Footer"/>
      <w:pBdr>
        <w:top w:val="single" w:sz="4" w:space="1" w:color="D9D9D9"/>
      </w:pBdr>
      <w:rPr>
        <w:rFonts w:asciiTheme="minorHAnsi" w:hAnsiTheme="minorHAnsi"/>
        <w:sz w:val="20"/>
      </w:rPr>
    </w:pPr>
    <w:r w:rsidRPr="002E0792">
      <w:rPr>
        <w:rFonts w:asciiTheme="minorHAnsi" w:hAnsiTheme="minorHAnsi"/>
        <w:sz w:val="20"/>
      </w:rPr>
      <w:t>Version 2.0 (September 2017)</w:t>
    </w:r>
  </w:p>
  <w:p w:rsidR="005240B9" w:rsidRPr="002E0792" w:rsidRDefault="002E0792" w:rsidP="002E0792">
    <w:pPr>
      <w:pStyle w:val="Footer"/>
      <w:pBdr>
        <w:top w:val="single" w:sz="4" w:space="1" w:color="D9D9D9"/>
      </w:pBdr>
      <w:jc w:val="right"/>
      <w:rPr>
        <w:rFonts w:asciiTheme="minorHAnsi" w:hAnsiTheme="minorHAnsi"/>
        <w:sz w:val="20"/>
      </w:rPr>
    </w:pPr>
    <w:r w:rsidRPr="002E0792">
      <w:rPr>
        <w:rFonts w:asciiTheme="minorHAnsi" w:hAnsiTheme="minorHAnsi"/>
        <w:sz w:val="20"/>
      </w:rPr>
      <w:fldChar w:fldCharType="begin"/>
    </w:r>
    <w:r w:rsidRPr="002E0792">
      <w:rPr>
        <w:rFonts w:asciiTheme="minorHAnsi" w:hAnsiTheme="minorHAnsi"/>
        <w:sz w:val="20"/>
      </w:rPr>
      <w:instrText xml:space="preserve"> PAGE   \* MERGEFORMAT </w:instrText>
    </w:r>
    <w:r w:rsidRPr="002E0792">
      <w:rPr>
        <w:rFonts w:asciiTheme="minorHAnsi" w:hAnsiTheme="minorHAnsi"/>
        <w:sz w:val="20"/>
      </w:rPr>
      <w:fldChar w:fldCharType="separate"/>
    </w:r>
    <w:r w:rsidR="002D2B50">
      <w:rPr>
        <w:rFonts w:asciiTheme="minorHAnsi" w:hAnsiTheme="minorHAnsi"/>
        <w:noProof/>
        <w:sz w:val="20"/>
      </w:rPr>
      <w:t>1</w:t>
    </w:r>
    <w:r w:rsidRPr="002E0792">
      <w:rPr>
        <w:rFonts w:asciiTheme="minorHAnsi" w:hAnsiTheme="minorHAnsi"/>
        <w:noProof/>
        <w:sz w:val="20"/>
      </w:rPr>
      <w:fldChar w:fldCharType="end"/>
    </w:r>
    <w:r w:rsidRPr="002E0792">
      <w:rPr>
        <w:rFonts w:asciiTheme="minorHAnsi" w:hAnsiTheme="minorHAnsi"/>
        <w:sz w:val="20"/>
      </w:rPr>
      <w:t xml:space="preserve"> | </w:t>
    </w:r>
    <w:r w:rsidRPr="002E0792">
      <w:rPr>
        <w:rFonts w:asciiTheme="minorHAnsi" w:hAnsiTheme="minorHAnsi"/>
        <w:color w:val="7F7F7F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49" w:rsidRDefault="00463649">
      <w:r>
        <w:separator/>
      </w:r>
    </w:p>
  </w:footnote>
  <w:footnote w:type="continuationSeparator" w:id="0">
    <w:p w:rsidR="00463649" w:rsidRDefault="0046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1B44"/>
    <w:multiLevelType w:val="hybridMultilevel"/>
    <w:tmpl w:val="BD7005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C4E1A"/>
    <w:multiLevelType w:val="hybridMultilevel"/>
    <w:tmpl w:val="DDAC9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0F96"/>
    <w:multiLevelType w:val="hybridMultilevel"/>
    <w:tmpl w:val="21AC4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F31DF"/>
    <w:multiLevelType w:val="hybridMultilevel"/>
    <w:tmpl w:val="DA521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57439"/>
    <w:multiLevelType w:val="hybridMultilevel"/>
    <w:tmpl w:val="F0742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B84628"/>
    <w:multiLevelType w:val="hybridMultilevel"/>
    <w:tmpl w:val="84F42302"/>
    <w:lvl w:ilvl="0" w:tplc="0409000F">
      <w:start w:val="1"/>
      <w:numFmt w:val="decimal"/>
      <w:lvlText w:val="%1."/>
      <w:lvlJc w:val="left"/>
      <w:pPr>
        <w:tabs>
          <w:tab w:val="num" w:pos="1641"/>
        </w:tabs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61"/>
        </w:tabs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1"/>
        </w:tabs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1"/>
        </w:tabs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1"/>
        </w:tabs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1"/>
        </w:tabs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1"/>
        </w:tabs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1"/>
        </w:tabs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1"/>
        </w:tabs>
        <w:ind w:left="7401" w:hanging="180"/>
      </w:pPr>
    </w:lvl>
  </w:abstractNum>
  <w:abstractNum w:abstractNumId="6" w15:restartNumberingAfterBreak="0">
    <w:nsid w:val="2EE54A20"/>
    <w:multiLevelType w:val="hybridMultilevel"/>
    <w:tmpl w:val="09E62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120650"/>
    <w:multiLevelType w:val="hybridMultilevel"/>
    <w:tmpl w:val="A1AE1A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D02C8E"/>
    <w:multiLevelType w:val="hybridMultilevel"/>
    <w:tmpl w:val="1DD8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226B0"/>
    <w:multiLevelType w:val="hybridMultilevel"/>
    <w:tmpl w:val="BDFCF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1F2679"/>
    <w:multiLevelType w:val="hybridMultilevel"/>
    <w:tmpl w:val="2D4059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AC41D9"/>
    <w:multiLevelType w:val="hybridMultilevel"/>
    <w:tmpl w:val="D7625A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F"/>
    <w:rsid w:val="00002E14"/>
    <w:rsid w:val="000A7199"/>
    <w:rsid w:val="000D1FBB"/>
    <w:rsid w:val="001F1F96"/>
    <w:rsid w:val="00270239"/>
    <w:rsid w:val="00271DC2"/>
    <w:rsid w:val="002772DF"/>
    <w:rsid w:val="002938BF"/>
    <w:rsid w:val="002A0C1A"/>
    <w:rsid w:val="002D2B50"/>
    <w:rsid w:val="002E0792"/>
    <w:rsid w:val="002F4AC4"/>
    <w:rsid w:val="00300901"/>
    <w:rsid w:val="0033316D"/>
    <w:rsid w:val="00397CFF"/>
    <w:rsid w:val="00463649"/>
    <w:rsid w:val="0048340A"/>
    <w:rsid w:val="004A5159"/>
    <w:rsid w:val="005240B9"/>
    <w:rsid w:val="005F3401"/>
    <w:rsid w:val="00630BE6"/>
    <w:rsid w:val="00633C3B"/>
    <w:rsid w:val="00641ACE"/>
    <w:rsid w:val="00651559"/>
    <w:rsid w:val="006529DB"/>
    <w:rsid w:val="006B1E7E"/>
    <w:rsid w:val="0070661C"/>
    <w:rsid w:val="008673F5"/>
    <w:rsid w:val="008B0248"/>
    <w:rsid w:val="008C0383"/>
    <w:rsid w:val="00965F0F"/>
    <w:rsid w:val="00A20952"/>
    <w:rsid w:val="00A87319"/>
    <w:rsid w:val="00AE1D19"/>
    <w:rsid w:val="00AF3CD8"/>
    <w:rsid w:val="00B4751B"/>
    <w:rsid w:val="00B5105D"/>
    <w:rsid w:val="00B96439"/>
    <w:rsid w:val="00C4636B"/>
    <w:rsid w:val="00C9446B"/>
    <w:rsid w:val="00D44EF8"/>
    <w:rsid w:val="00D923E4"/>
    <w:rsid w:val="00DE11E5"/>
    <w:rsid w:val="00DE3D1E"/>
    <w:rsid w:val="00E24826"/>
    <w:rsid w:val="00E4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2DE07-1882-4BC6-85B9-2DE36CF6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bCs/>
    </w:rPr>
  </w:style>
  <w:style w:type="paragraph" w:styleId="BodyText">
    <w:name w:val="Body Text"/>
    <w:basedOn w:val="Normal"/>
    <w:rPr>
      <w:rFonts w:ascii="Comic Sans MS" w:hAnsi="Comic Sans MS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TitleChar">
    <w:name w:val="Title Char"/>
    <w:link w:val="Title"/>
    <w:rsid w:val="00002E14"/>
    <w:rPr>
      <w:rFonts w:ascii="Comic Sans MS" w:hAnsi="Comic Sans M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E1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D1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E0792"/>
    <w:pPr>
      <w:ind w:left="720"/>
    </w:pPr>
  </w:style>
  <w:style w:type="paragraph" w:styleId="Header">
    <w:name w:val="header"/>
    <w:basedOn w:val="Normal"/>
    <w:link w:val="HeaderChar"/>
    <w:rsid w:val="002E0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0792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E0792"/>
    <w:rPr>
      <w:sz w:val="24"/>
      <w:szCs w:val="24"/>
      <w:lang w:eastAsia="en-US"/>
    </w:rPr>
  </w:style>
  <w:style w:type="table" w:styleId="TableGrid">
    <w:name w:val="Table Grid"/>
    <w:basedOn w:val="TableNormal"/>
    <w:rsid w:val="00E41D3A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D3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Michael’s Church of England Junior School</vt:lpstr>
    </vt:vector>
  </TitlesOfParts>
  <Company>NEC Computers International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Michael’s Church of England Junior School</dc:title>
  <dc:subject/>
  <dc:creator>NEC Computers International</dc:creator>
  <cp:keywords/>
  <cp:lastModifiedBy>Teacher</cp:lastModifiedBy>
  <cp:revision>2</cp:revision>
  <cp:lastPrinted>2016-03-03T14:57:00Z</cp:lastPrinted>
  <dcterms:created xsi:type="dcterms:W3CDTF">2019-05-07T15:40:00Z</dcterms:created>
  <dcterms:modified xsi:type="dcterms:W3CDTF">2019-05-07T15:40:00Z</dcterms:modified>
</cp:coreProperties>
</file>