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6D" w:rsidRDefault="00B24D38">
      <w:pPr>
        <w:ind w:left="-720"/>
        <w:rPr>
          <w:rFonts w:ascii="Arial" w:hAnsi="Arial" w:cs="Arial"/>
          <w:b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-537210</wp:posOffset>
            </wp:positionV>
            <wp:extent cx="1090295" cy="1090295"/>
            <wp:effectExtent l="0" t="0" r="0" b="0"/>
            <wp:wrapNone/>
            <wp:docPr id="1" name="Picture 1" descr="\\ADMIN-DC01\Michelle$\Documents\Logos\11539_CGX Whinless Down Academy v3 Fina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DC01\Michelle$\Documents\Logos\11539_CGX Whinless Down Academy v3 Final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D6D" w:rsidRDefault="00D23D6D">
      <w:pPr>
        <w:ind w:left="-720"/>
        <w:rPr>
          <w:rFonts w:ascii="Arial" w:hAnsi="Arial" w:cs="Arial"/>
          <w:b/>
          <w:u w:val="single"/>
          <w:lang w:val="en-GB"/>
        </w:rPr>
      </w:pPr>
    </w:p>
    <w:p w:rsidR="00D23D6D" w:rsidRDefault="00D23D6D">
      <w:pPr>
        <w:ind w:left="-720"/>
        <w:rPr>
          <w:rFonts w:ascii="Arial" w:hAnsi="Arial" w:cs="Arial"/>
          <w:b/>
          <w:u w:val="single"/>
          <w:lang w:val="en-GB"/>
        </w:rPr>
      </w:pPr>
    </w:p>
    <w:p w:rsidR="00D23D6D" w:rsidRDefault="00D23D6D">
      <w:pPr>
        <w:ind w:left="-720"/>
        <w:rPr>
          <w:rFonts w:ascii="Arial" w:hAnsi="Arial" w:cs="Arial"/>
          <w:b/>
          <w:u w:val="single"/>
          <w:lang w:val="en-GB"/>
        </w:rPr>
      </w:pPr>
    </w:p>
    <w:p w:rsidR="00D23D6D" w:rsidRDefault="00B24D38">
      <w:pPr>
        <w:ind w:left="-720"/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JOB DESCRIPTION FOR PERSONNEL AND FINANCE ADMINISTRATOR</w:t>
      </w:r>
    </w:p>
    <w:p w:rsidR="00D23D6D" w:rsidRDefault="00D23D6D">
      <w:pPr>
        <w:ind w:left="-720"/>
        <w:rPr>
          <w:rFonts w:ascii="Arial" w:hAnsi="Arial" w:cs="Arial"/>
          <w:b/>
          <w:noProof/>
          <w:lang w:val="en-GB" w:eastAsia="en-GB"/>
        </w:rPr>
      </w:pPr>
    </w:p>
    <w:p w:rsidR="00D23D6D" w:rsidRDefault="00B24D38">
      <w:pPr>
        <w:rPr>
          <w:rFonts w:ascii="Century Schoolbook" w:hAnsi="Century Schoolbook"/>
          <w:b/>
          <w:noProof/>
        </w:rPr>
      </w:pPr>
      <w:r>
        <w:rPr>
          <w:rFonts w:ascii="Century Schoolbook" w:hAnsi="Century Schoolbook"/>
          <w:b/>
          <w:noProof/>
        </w:rPr>
        <w:t xml:space="preserve">  </w:t>
      </w:r>
      <w:r>
        <w:rPr>
          <w:rFonts w:ascii="Century Schoolbook" w:hAnsi="Century Schoolbook"/>
          <w:b/>
          <w:noProof/>
        </w:rPr>
        <w:tab/>
      </w:r>
      <w:r>
        <w:rPr>
          <w:rFonts w:ascii="Century Schoolbook" w:hAnsi="Century Schoolbook"/>
          <w:b/>
          <w:noProof/>
        </w:rPr>
        <w:tab/>
      </w:r>
      <w:r>
        <w:rPr>
          <w:rFonts w:ascii="Century Schoolbook" w:hAnsi="Century Schoolbook"/>
          <w:b/>
          <w:noProof/>
        </w:rPr>
        <w:tab/>
      </w:r>
      <w:r>
        <w:rPr>
          <w:rFonts w:ascii="Century Schoolbook" w:hAnsi="Century Schoolbook"/>
          <w:b/>
          <w:noProof/>
        </w:rPr>
        <w:tab/>
      </w:r>
      <w:r>
        <w:rPr>
          <w:rFonts w:ascii="Century Schoolbook" w:hAnsi="Century Schoolbook"/>
          <w:b/>
          <w:noProof/>
        </w:rPr>
        <w:tab/>
      </w:r>
      <w:r>
        <w:rPr>
          <w:rFonts w:ascii="Century Schoolbook" w:hAnsi="Century Schoolbook"/>
          <w:b/>
          <w:noProof/>
        </w:rPr>
        <w:tab/>
      </w:r>
      <w:r>
        <w:rPr>
          <w:rFonts w:ascii="Century Schoolbook" w:hAnsi="Century Schoolbook"/>
          <w:b/>
          <w:noProof/>
        </w:rPr>
        <w:tab/>
      </w:r>
    </w:p>
    <w:p w:rsidR="00D23D6D" w:rsidRDefault="00B24D38">
      <w:pPr>
        <w:rPr>
          <w:rFonts w:ascii="Century Schoolbook" w:hAnsi="Century Schoolbook"/>
          <w:b/>
          <w:i/>
          <w:noProof/>
        </w:rPr>
      </w:pPr>
      <w:r>
        <w:rPr>
          <w:rFonts w:ascii="Century Schoolbook" w:hAnsi="Century Schoolbook"/>
          <w:b/>
          <w:noProof/>
        </w:rPr>
        <w:tab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D23D6D">
        <w:trPr>
          <w:trHeight w:val="414"/>
        </w:trPr>
        <w:tc>
          <w:tcPr>
            <w:tcW w:w="5040" w:type="dxa"/>
          </w:tcPr>
          <w:p w:rsidR="00D23D6D" w:rsidRDefault="00B24D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Whinless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Down Academy Trust</w:t>
            </w:r>
          </w:p>
        </w:tc>
        <w:tc>
          <w:tcPr>
            <w:tcW w:w="5040" w:type="dxa"/>
          </w:tcPr>
          <w:p w:rsidR="00D23D6D" w:rsidRDefault="00B24D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Location: Dover, Kent</w:t>
            </w:r>
          </w:p>
        </w:tc>
      </w:tr>
      <w:tr w:rsidR="00D23D6D">
        <w:tc>
          <w:tcPr>
            <w:tcW w:w="5040" w:type="dxa"/>
          </w:tcPr>
          <w:p w:rsidR="00D23D6D" w:rsidRDefault="00B24D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Job title: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Personnel and Finance Administrator</w:t>
            </w:r>
          </w:p>
          <w:p w:rsidR="00D23D6D" w:rsidRDefault="00B24D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(Primary). </w:t>
            </w:r>
          </w:p>
          <w:p w:rsidR="00D23D6D" w:rsidRDefault="00D23D6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</w:tcPr>
          <w:p w:rsidR="00D23D6D" w:rsidRDefault="00B24D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Salary range: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KR6</w:t>
            </w:r>
          </w:p>
        </w:tc>
      </w:tr>
      <w:tr w:rsidR="00D23D6D">
        <w:tc>
          <w:tcPr>
            <w:tcW w:w="5040" w:type="dxa"/>
          </w:tcPr>
          <w:p w:rsidR="00D23D6D" w:rsidRDefault="00B24D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Start Date: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TBC </w:t>
            </w:r>
          </w:p>
        </w:tc>
        <w:tc>
          <w:tcPr>
            <w:tcW w:w="5040" w:type="dxa"/>
          </w:tcPr>
          <w:p w:rsidR="00D23D6D" w:rsidRDefault="00B24D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Subject Leadership: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Finance, Site and HR  </w:t>
            </w:r>
          </w:p>
        </w:tc>
      </w:tr>
      <w:tr w:rsidR="00D23D6D">
        <w:tc>
          <w:tcPr>
            <w:tcW w:w="10080" w:type="dxa"/>
            <w:gridSpan w:val="2"/>
          </w:tcPr>
          <w:p w:rsidR="00D23D6D" w:rsidRDefault="00B24D3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Hours of Work: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8.30 – 4.30 Mon - Friday.  40 weeks per annum. </w:t>
            </w:r>
          </w:p>
          <w:p w:rsidR="00D23D6D" w:rsidRDefault="00D23D6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23D6D" w:rsidRDefault="00D23D6D">
      <w:pPr>
        <w:rPr>
          <w:rFonts w:ascii="Arial" w:hAnsi="Arial" w:cs="Arial"/>
          <w:sz w:val="22"/>
          <w:szCs w:val="22"/>
          <w:lang w:val="en-GB"/>
        </w:rPr>
      </w:pPr>
    </w:p>
    <w:p w:rsidR="00D23D6D" w:rsidRDefault="00D23D6D">
      <w:pPr>
        <w:rPr>
          <w:rFonts w:ascii="Arial" w:hAnsi="Arial" w:cs="Arial"/>
          <w:sz w:val="22"/>
          <w:szCs w:val="22"/>
          <w:lang w:val="en-GB"/>
        </w:rPr>
      </w:pPr>
    </w:p>
    <w:p w:rsidR="00D23D6D" w:rsidRDefault="00D23D6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D23D6D">
        <w:tc>
          <w:tcPr>
            <w:tcW w:w="10080" w:type="dxa"/>
          </w:tcPr>
          <w:p w:rsidR="00D23D6D" w:rsidRDefault="00B24D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Job Purpose</w:t>
            </w:r>
          </w:p>
        </w:tc>
      </w:tr>
      <w:tr w:rsidR="00D23D6D">
        <w:tc>
          <w:tcPr>
            <w:tcW w:w="10080" w:type="dxa"/>
          </w:tcPr>
          <w:p w:rsidR="00D23D6D" w:rsidRDefault="00B24D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To actively model and promote the values and ethos of the School. </w:t>
            </w:r>
          </w:p>
          <w:p w:rsidR="00D23D6D" w:rsidRDefault="00B24D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To be responsible for planning in relation to all financial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implications,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ensuring that the School uses its resources effectively and efficiently at all times. </w:t>
            </w:r>
          </w:p>
          <w:p w:rsidR="00D23D6D" w:rsidRDefault="00B24D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be responsible for personnel management, support estate management, administration aspects of financial management, training and development and all matters with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 the management of the School which are supportive to, but do not directly involve teaching and learning. </w:t>
            </w:r>
          </w:p>
          <w:p w:rsidR="00D23D6D" w:rsidRDefault="00B24D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To generate and co-ordinate new income streams which are supportive of the ethos of the school. </w:t>
            </w:r>
          </w:p>
          <w:p w:rsidR="00D23D6D" w:rsidRDefault="00B24D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cover other office staff – understand and be ab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le to operate school attendance and other systems in absence.</w:t>
            </w:r>
          </w:p>
          <w:p w:rsidR="00D23D6D" w:rsidRDefault="00B24D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manage the collection, recording and banking of school monies in accordance with the finance policy.</w:t>
            </w:r>
          </w:p>
          <w:p w:rsidR="00D23D6D" w:rsidRDefault="00B24D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administer personnel records and establish joiners and leavers paperwork appropriately.</w:t>
            </w:r>
          </w:p>
        </w:tc>
      </w:tr>
    </w:tbl>
    <w:p w:rsidR="00D23D6D" w:rsidRDefault="00D23D6D">
      <w:pPr>
        <w:rPr>
          <w:rFonts w:ascii="Arial" w:hAnsi="Arial" w:cs="Arial"/>
          <w:sz w:val="22"/>
          <w:szCs w:val="22"/>
          <w:lang w:val="en-GB"/>
        </w:rPr>
      </w:pPr>
    </w:p>
    <w:p w:rsidR="00D23D6D" w:rsidRDefault="00D23D6D">
      <w:pPr>
        <w:rPr>
          <w:rFonts w:ascii="Arial" w:hAnsi="Arial" w:cs="Arial"/>
          <w:sz w:val="22"/>
          <w:szCs w:val="22"/>
          <w:lang w:val="en-GB"/>
        </w:rPr>
      </w:pPr>
    </w:p>
    <w:p w:rsidR="00D23D6D" w:rsidRDefault="00D23D6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D23D6D">
        <w:tc>
          <w:tcPr>
            <w:tcW w:w="10080" w:type="dxa"/>
          </w:tcPr>
          <w:p w:rsidR="00D23D6D" w:rsidRDefault="00B24D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Main duties and responsibilities of Personnel and Finance Administrator</w:t>
            </w:r>
          </w:p>
          <w:p w:rsidR="00D23D6D" w:rsidRDefault="00D23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23D6D">
        <w:tc>
          <w:tcPr>
            <w:tcW w:w="10080" w:type="dxa"/>
          </w:tcPr>
          <w:p w:rsidR="00D23D6D" w:rsidRDefault="00B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Finance and Business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-</w:t>
            </w:r>
          </w:p>
        </w:tc>
      </w:tr>
      <w:tr w:rsidR="00D23D6D">
        <w:tc>
          <w:tcPr>
            <w:tcW w:w="10080" w:type="dxa"/>
          </w:tcPr>
          <w:p w:rsidR="00D23D6D" w:rsidRDefault="00B24D3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To work with staff to implement the financial decisions of the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Whinless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Down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Academy Trust.</w:t>
            </w:r>
          </w:p>
          <w:p w:rsidR="00D23D6D" w:rsidRDefault="00B24D3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To as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sist and work alongside the Academy Business Manager on investment and financial policy, preparing for future projects and for the development of a long term financial strategy for the future development of the school. </w:t>
            </w:r>
          </w:p>
          <w:p w:rsidR="00D23D6D" w:rsidRDefault="00B24D3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To maximise income generation wi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thin the ethos of the school </w:t>
            </w:r>
          </w:p>
          <w:p w:rsidR="00D23D6D" w:rsidRDefault="00B24D3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In conjunction with the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Whinless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Down Academy team, support the creation of the detailed budget for the school.</w:t>
            </w:r>
          </w:p>
          <w:p w:rsidR="00D23D6D" w:rsidRDefault="00B24D3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Monitor and control income and expenditure in relation to the school’s budget at the request of the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Whinless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Down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Academy Trust. </w:t>
            </w:r>
          </w:p>
          <w:p w:rsidR="00D23D6D" w:rsidRDefault="00B24D3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lastRenderedPageBreak/>
              <w:t>Monitor and control income and expenditure in relation to the school’s CPD budget in conjunction with the Head of School and ABM.</w:t>
            </w:r>
          </w:p>
          <w:p w:rsidR="00D23D6D" w:rsidRDefault="00B24D3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To support the preparation of all financial returns for the EFSA, and Accountants within statutory deadlines. </w:t>
            </w:r>
          </w:p>
          <w:p w:rsidR="00D23D6D" w:rsidRDefault="00B24D3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To give advice to Governors on salary assessment, sickness, maternity and paternity procedures, redundancy, capability, disciplinary issues and any matters of dismissal. </w:t>
            </w:r>
          </w:p>
          <w:p w:rsidR="00D23D6D" w:rsidRDefault="00B24D3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To be responsible for the administration of recruitment, induction and training of 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ll staff. </w:t>
            </w:r>
          </w:p>
          <w:p w:rsidR="00D23D6D" w:rsidRDefault="00B24D3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To have a good knowledge of SIMS.net </w:t>
            </w:r>
          </w:p>
          <w:p w:rsidR="00D23D6D" w:rsidRDefault="00B24D3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To ensure expectations of Compliance are met at all times by all staff.  </w:t>
            </w:r>
          </w:p>
          <w:p w:rsidR="00D23D6D" w:rsidRDefault="00D23D6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3D6D">
        <w:tc>
          <w:tcPr>
            <w:tcW w:w="10080" w:type="dxa"/>
          </w:tcPr>
          <w:p w:rsidR="00D23D6D" w:rsidRDefault="00B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lastRenderedPageBreak/>
              <w:t xml:space="preserve">Personnel Management </w:t>
            </w:r>
          </w:p>
        </w:tc>
      </w:tr>
      <w:tr w:rsidR="00D23D6D">
        <w:tc>
          <w:tcPr>
            <w:tcW w:w="10080" w:type="dxa"/>
          </w:tcPr>
          <w:p w:rsidR="00D23D6D" w:rsidRDefault="00B24D3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To be responsible for general personnel matters in consultation with the ABM e.g. ensuring    required pre-employment checks are carried out for new employees, dealing with staff queries about salaries, expenses, sickness and maternity procedures etc. Moni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tor absence and undertake return to work interviews with support staff. </w:t>
            </w:r>
          </w:p>
          <w:p w:rsidR="00D23D6D" w:rsidRDefault="00B24D38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meet with ABM on a regular basis and formally six times a year to review individual staff attendance.</w:t>
            </w:r>
          </w:p>
          <w:p w:rsidR="00D23D6D" w:rsidRDefault="00B24D3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To maintain confidential staff records, and to ensure that staff records held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in the school by others are kept confidential. </w:t>
            </w:r>
          </w:p>
          <w:p w:rsidR="00D23D6D" w:rsidRDefault="00B24D3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To provide support for site staff, including direct guidance where expectations are not being met.</w:t>
            </w:r>
          </w:p>
          <w:p w:rsidR="00D23D6D" w:rsidRDefault="00B24D3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To ensure all safeguarding procedures are in place and adhered to generally, particularly in relation to the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Single Central Record, GDPR and recruitment. </w:t>
            </w:r>
          </w:p>
          <w:p w:rsidR="00D23D6D" w:rsidRDefault="00B24D3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To ensure all HR processes and systems are legal, compliant with internal policies and best practice, and are efficiently undertaken </w:t>
            </w:r>
          </w:p>
          <w:p w:rsidR="00D23D6D" w:rsidRDefault="00B24D3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To ensure the workforce census is completed </w:t>
            </w:r>
          </w:p>
          <w:p w:rsidR="00D23D6D" w:rsidRDefault="00D23D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D23D6D">
        <w:tc>
          <w:tcPr>
            <w:tcW w:w="10080" w:type="dxa"/>
          </w:tcPr>
          <w:p w:rsidR="00D23D6D" w:rsidRDefault="00B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Premises </w:t>
            </w:r>
          </w:p>
        </w:tc>
      </w:tr>
      <w:tr w:rsidR="00D23D6D">
        <w:tc>
          <w:tcPr>
            <w:tcW w:w="10080" w:type="dxa"/>
          </w:tcPr>
          <w:p w:rsidR="00D23D6D" w:rsidRDefault="00B24D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To work with the Premises staff to implement the premises and site decisions of the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Whinless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Down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Academy Trust and Head of School. </w:t>
            </w:r>
          </w:p>
          <w:p w:rsidR="00D23D6D" w:rsidRDefault="00B24D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To share responsibility with the ABM for the maintenance of the school site and the buildings, the preparation of maintenance schedules and the efficient operation of all facilities on the property. </w:t>
            </w:r>
          </w:p>
          <w:p w:rsidR="00D23D6D" w:rsidRDefault="00B24D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To work with the ABM to ensure all contracts are maintai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ned to the highest quality and provide the school with value for money. </w:t>
            </w:r>
          </w:p>
          <w:p w:rsidR="00D23D6D" w:rsidRDefault="00B24D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To maximise the use of the accommodation both by school and outside agencies in order to generate income. </w:t>
            </w:r>
          </w:p>
          <w:p w:rsidR="00D23D6D" w:rsidRDefault="00B24D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To raise awareness of the main health and safety issues specific to the scho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ol and how they relate to pupils, staff, visitors and contractors, ensuring these are rapidly resolved. </w:t>
            </w:r>
          </w:p>
          <w:p w:rsidR="00D23D6D" w:rsidRDefault="00B24D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To manage the letting of the school premises to outside organisations and have relevant policies and paperwork in place. </w:t>
            </w:r>
          </w:p>
          <w:p w:rsidR="00D23D6D" w:rsidRDefault="00B24D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To support the ABM in prepara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tion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of  disaster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recovery plan and be aware of its place within the management procedures of the school. </w:t>
            </w:r>
          </w:p>
          <w:p w:rsidR="00D23D6D" w:rsidRDefault="00B24D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To advise the ABM of any premise changes.</w:t>
            </w:r>
          </w:p>
          <w:p w:rsidR="00D23D6D" w:rsidRDefault="00B24D3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To assist the ABM in the management of the catering contracts, cleaning contracts, leasing arrangements, an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d Asset Register.</w:t>
            </w:r>
          </w:p>
          <w:p w:rsidR="00D23D6D" w:rsidRDefault="00D23D6D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  <w:p w:rsidR="00D23D6D" w:rsidRDefault="00D23D6D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  <w:p w:rsidR="00D23D6D" w:rsidRDefault="00D23D6D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D23D6D">
        <w:tc>
          <w:tcPr>
            <w:tcW w:w="10080" w:type="dxa"/>
          </w:tcPr>
          <w:p w:rsidR="00D23D6D" w:rsidRDefault="00B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lastRenderedPageBreak/>
              <w:t xml:space="preserve">Whole School Administration </w:t>
            </w:r>
          </w:p>
        </w:tc>
      </w:tr>
      <w:tr w:rsidR="00D23D6D">
        <w:tc>
          <w:tcPr>
            <w:tcW w:w="10080" w:type="dxa"/>
          </w:tcPr>
          <w:p w:rsidR="00D23D6D" w:rsidRDefault="00B24D3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To provide for the preparation and production of all school records and publications. </w:t>
            </w:r>
          </w:p>
          <w:p w:rsidR="00D23D6D" w:rsidRDefault="00B24D3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To be responsible and accountable for key objectives in the one-year School Development Plan and the three-year Strategic Improvement Plan. </w:t>
            </w:r>
          </w:p>
          <w:p w:rsidR="00D23D6D" w:rsidRDefault="00B24D3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To interpret matters of policy/procedure/statute to ensure the school’s compliance and initiate any appropriate act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ion necessary. </w:t>
            </w:r>
          </w:p>
          <w:p w:rsidR="00D23D6D" w:rsidRDefault="00D23D6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  <w:p w:rsidR="00D23D6D" w:rsidRDefault="00D23D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D23D6D">
        <w:tc>
          <w:tcPr>
            <w:tcW w:w="10080" w:type="dxa"/>
          </w:tcPr>
          <w:p w:rsidR="00D23D6D" w:rsidRDefault="00B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Staff Responsibility </w:t>
            </w:r>
          </w:p>
        </w:tc>
      </w:tr>
      <w:tr w:rsidR="00D23D6D">
        <w:tc>
          <w:tcPr>
            <w:tcW w:w="10080" w:type="dxa"/>
          </w:tcPr>
          <w:p w:rsidR="00D23D6D" w:rsidRDefault="00B24D3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To support staff with Finance, Premises, Administration and Reception. </w:t>
            </w:r>
          </w:p>
          <w:p w:rsidR="00D23D6D" w:rsidRDefault="00D23D6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D23D6D">
        <w:tc>
          <w:tcPr>
            <w:tcW w:w="10080" w:type="dxa"/>
          </w:tcPr>
          <w:p w:rsidR="00D23D6D" w:rsidRDefault="00B2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General </w:t>
            </w:r>
          </w:p>
        </w:tc>
      </w:tr>
      <w:tr w:rsidR="00D23D6D">
        <w:tc>
          <w:tcPr>
            <w:tcW w:w="10080" w:type="dxa"/>
          </w:tcPr>
          <w:p w:rsidR="00D23D6D" w:rsidRDefault="00B24D3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To undertake any other duties as appropriate to the grade of the post as requested by the Headteacher. </w:t>
            </w:r>
          </w:p>
          <w:p w:rsidR="00D23D6D" w:rsidRDefault="00B24D38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maintain personal appraisal portfolio to demonstrate impact on the school.  </w:t>
            </w:r>
          </w:p>
          <w:p w:rsidR="00D23D6D" w:rsidRDefault="00D23D6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</w:tr>
    </w:tbl>
    <w:p w:rsidR="00D23D6D" w:rsidRDefault="00D23D6D">
      <w:pPr>
        <w:rPr>
          <w:rFonts w:ascii="Arial" w:hAnsi="Arial" w:cs="Arial"/>
          <w:sz w:val="22"/>
          <w:szCs w:val="22"/>
          <w:lang w:val="en-GB"/>
        </w:rPr>
      </w:pPr>
    </w:p>
    <w:p w:rsidR="00D23D6D" w:rsidRDefault="00D23D6D">
      <w:pPr>
        <w:rPr>
          <w:rFonts w:ascii="Arial" w:hAnsi="Arial" w:cs="Arial"/>
          <w:sz w:val="22"/>
          <w:szCs w:val="22"/>
          <w:lang w:val="en-GB"/>
        </w:rPr>
      </w:pPr>
    </w:p>
    <w:p w:rsidR="00D23D6D" w:rsidRDefault="00B24D38">
      <w:pPr>
        <w:ind w:left="-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An annual review of this job description and allocation of particular responsibilities will take place as part of the Appraisal process. </w:t>
      </w:r>
    </w:p>
    <w:p w:rsidR="00D23D6D" w:rsidRDefault="00D23D6D">
      <w:pPr>
        <w:ind w:right="-714"/>
        <w:rPr>
          <w:rFonts w:ascii="Arial" w:hAnsi="Arial" w:cs="Arial"/>
          <w:sz w:val="22"/>
          <w:szCs w:val="22"/>
          <w:lang w:val="en-GB"/>
        </w:rPr>
      </w:pPr>
    </w:p>
    <w:p w:rsidR="00D23D6D" w:rsidRDefault="00D23D6D">
      <w:pPr>
        <w:ind w:right="-714"/>
        <w:rPr>
          <w:rFonts w:ascii="Arial" w:hAnsi="Arial" w:cs="Arial"/>
          <w:sz w:val="22"/>
          <w:szCs w:val="22"/>
          <w:lang w:val="en-GB"/>
        </w:rPr>
      </w:pPr>
    </w:p>
    <w:p w:rsidR="00D23D6D" w:rsidRDefault="00B24D38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Staff signature …………………………………  </w:t>
      </w:r>
      <w:r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  <w:t xml:space="preserve">Date </w:t>
      </w:r>
    </w:p>
    <w:p w:rsidR="00D23D6D" w:rsidRDefault="00D23D6D">
      <w:pPr>
        <w:rPr>
          <w:rFonts w:ascii="Arial" w:hAnsi="Arial" w:cs="Arial"/>
          <w:sz w:val="22"/>
          <w:szCs w:val="22"/>
          <w:lang w:eastAsia="en-GB"/>
        </w:rPr>
      </w:pPr>
    </w:p>
    <w:p w:rsidR="00D23D6D" w:rsidRDefault="00D23D6D">
      <w:pPr>
        <w:rPr>
          <w:rFonts w:ascii="Arial" w:hAnsi="Arial" w:cs="Arial"/>
          <w:sz w:val="22"/>
          <w:szCs w:val="22"/>
          <w:lang w:eastAsia="en-GB"/>
        </w:rPr>
      </w:pPr>
    </w:p>
    <w:p w:rsidR="00D23D6D" w:rsidRDefault="00D23D6D">
      <w:pPr>
        <w:rPr>
          <w:rFonts w:ascii="Arial" w:hAnsi="Arial" w:cs="Arial"/>
          <w:sz w:val="22"/>
          <w:szCs w:val="22"/>
          <w:lang w:eastAsia="en-GB"/>
        </w:rPr>
      </w:pPr>
    </w:p>
    <w:p w:rsidR="00D23D6D" w:rsidRDefault="00B24D38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Executive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Headteachers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signature ……………………… 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Review date </w:t>
      </w:r>
    </w:p>
    <w:p w:rsidR="00D23D6D" w:rsidRDefault="00D23D6D"/>
    <w:sectPr w:rsidR="00D23D6D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6D" w:rsidRDefault="00B24D38">
      <w:r>
        <w:separator/>
      </w:r>
    </w:p>
  </w:endnote>
  <w:endnote w:type="continuationSeparator" w:id="0">
    <w:p w:rsidR="00D23D6D" w:rsidRDefault="00B2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6D" w:rsidRDefault="00B24D38">
      <w:r>
        <w:separator/>
      </w:r>
    </w:p>
  </w:footnote>
  <w:footnote w:type="continuationSeparator" w:id="0">
    <w:p w:rsidR="00D23D6D" w:rsidRDefault="00B2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8B0"/>
      </v:shape>
    </w:pict>
  </w:numPicBullet>
  <w:abstractNum w:abstractNumId="0">
    <w:nsid w:val="08EE3506"/>
    <w:multiLevelType w:val="hybridMultilevel"/>
    <w:tmpl w:val="DCCC3D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12DFC"/>
    <w:multiLevelType w:val="hybridMultilevel"/>
    <w:tmpl w:val="D606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527C"/>
    <w:multiLevelType w:val="hybridMultilevel"/>
    <w:tmpl w:val="3028C20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AC6314"/>
    <w:multiLevelType w:val="hybridMultilevel"/>
    <w:tmpl w:val="2E8E4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204F8"/>
    <w:multiLevelType w:val="hybridMultilevel"/>
    <w:tmpl w:val="87B6D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5E2F6E"/>
    <w:multiLevelType w:val="hybridMultilevel"/>
    <w:tmpl w:val="294C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A3026"/>
    <w:multiLevelType w:val="hybridMultilevel"/>
    <w:tmpl w:val="BB8099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DA3C3E"/>
    <w:multiLevelType w:val="hybridMultilevel"/>
    <w:tmpl w:val="9BD0F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E2D6B"/>
    <w:multiLevelType w:val="hybridMultilevel"/>
    <w:tmpl w:val="A09A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444E6"/>
    <w:multiLevelType w:val="hybridMultilevel"/>
    <w:tmpl w:val="7B30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00C9C"/>
    <w:multiLevelType w:val="hybridMultilevel"/>
    <w:tmpl w:val="4B4ADF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F95CDA"/>
    <w:multiLevelType w:val="hybridMultilevel"/>
    <w:tmpl w:val="C5D673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58A7D0E"/>
    <w:multiLevelType w:val="hybridMultilevel"/>
    <w:tmpl w:val="AA726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836A4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4">
    <w:nsid w:val="4B2F0CC6"/>
    <w:multiLevelType w:val="hybridMultilevel"/>
    <w:tmpl w:val="557A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63788"/>
    <w:multiLevelType w:val="hybridMultilevel"/>
    <w:tmpl w:val="1E4A7A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ED1961"/>
    <w:multiLevelType w:val="hybridMultilevel"/>
    <w:tmpl w:val="8C70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E5742"/>
    <w:multiLevelType w:val="hybridMultilevel"/>
    <w:tmpl w:val="EF646DF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F42B68"/>
    <w:multiLevelType w:val="hybridMultilevel"/>
    <w:tmpl w:val="C774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97C06"/>
    <w:multiLevelType w:val="hybridMultilevel"/>
    <w:tmpl w:val="6B1A5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4B3F9C"/>
    <w:multiLevelType w:val="hybridMultilevel"/>
    <w:tmpl w:val="6F30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C49CC"/>
    <w:multiLevelType w:val="hybridMultilevel"/>
    <w:tmpl w:val="99BAF85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90846"/>
    <w:multiLevelType w:val="hybridMultilevel"/>
    <w:tmpl w:val="3BF0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34D06"/>
    <w:multiLevelType w:val="hybridMultilevel"/>
    <w:tmpl w:val="447EEE52"/>
    <w:lvl w:ilvl="0" w:tplc="FF68C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B26B6"/>
    <w:multiLevelType w:val="hybridMultilevel"/>
    <w:tmpl w:val="B43E4A3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438542A"/>
    <w:multiLevelType w:val="hybridMultilevel"/>
    <w:tmpl w:val="18CCC5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14"/>
  </w:num>
  <w:num w:numId="6">
    <w:abstractNumId w:val="18"/>
  </w:num>
  <w:num w:numId="7">
    <w:abstractNumId w:val="8"/>
  </w:num>
  <w:num w:numId="8">
    <w:abstractNumId w:val="9"/>
  </w:num>
  <w:num w:numId="9">
    <w:abstractNumId w:val="21"/>
  </w:num>
  <w:num w:numId="10">
    <w:abstractNumId w:val="19"/>
  </w:num>
  <w:num w:numId="11">
    <w:abstractNumId w:val="4"/>
  </w:num>
  <w:num w:numId="12">
    <w:abstractNumId w:val="23"/>
  </w:num>
  <w:num w:numId="13">
    <w:abstractNumId w:val="6"/>
  </w:num>
  <w:num w:numId="14">
    <w:abstractNumId w:val="11"/>
  </w:num>
  <w:num w:numId="15">
    <w:abstractNumId w:val="17"/>
  </w:num>
  <w:num w:numId="16">
    <w:abstractNumId w:val="10"/>
  </w:num>
  <w:num w:numId="17">
    <w:abstractNumId w:val="2"/>
  </w:num>
  <w:num w:numId="18">
    <w:abstractNumId w:val="24"/>
  </w:num>
  <w:num w:numId="19">
    <w:abstractNumId w:val="25"/>
  </w:num>
  <w:num w:numId="20">
    <w:abstractNumId w:val="5"/>
  </w:num>
  <w:num w:numId="21">
    <w:abstractNumId w:val="22"/>
  </w:num>
  <w:num w:numId="22">
    <w:abstractNumId w:val="15"/>
  </w:num>
  <w:num w:numId="23">
    <w:abstractNumId w:val="16"/>
  </w:num>
  <w:num w:numId="24">
    <w:abstractNumId w:val="20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6D"/>
    <w:rsid w:val="00B24D38"/>
    <w:rsid w:val="00D2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 School, DOVER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Wratten</dc:creator>
  <cp:lastModifiedBy>Jan Player</cp:lastModifiedBy>
  <cp:revision>2</cp:revision>
  <dcterms:created xsi:type="dcterms:W3CDTF">2018-12-04T11:20:00Z</dcterms:created>
  <dcterms:modified xsi:type="dcterms:W3CDTF">2018-12-04T11:20:00Z</dcterms:modified>
</cp:coreProperties>
</file>