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03" w:rsidRPr="00757803" w:rsidRDefault="00757803" w:rsidP="00757803">
      <w:pPr>
        <w:jc w:val="center"/>
        <w:rPr>
          <w:rFonts w:ascii="Open Sans" w:eastAsia="Calibri" w:hAnsi="Open Sans" w:cs="Open Sans"/>
          <w:b/>
        </w:rPr>
      </w:pPr>
      <w:r w:rsidRPr="00757803">
        <w:rPr>
          <w:rFonts w:ascii="Open Sans" w:hAnsi="Open Sans" w:cs="Open Sans"/>
          <w:b/>
        </w:rPr>
        <w:t>PERSON SPECIFICATION</w:t>
      </w:r>
      <w:r w:rsidRPr="00757803">
        <w:rPr>
          <w:rFonts w:ascii="Open Sans" w:eastAsia="Calibri" w:hAnsi="Open Sans" w:cs="Open Sans"/>
          <w:b/>
        </w:rPr>
        <w:t xml:space="preserve"> - </w:t>
      </w:r>
      <w:r w:rsidRPr="00757803">
        <w:rPr>
          <w:rFonts w:ascii="Open Sans" w:hAnsi="Open Sans" w:cs="Open Sans"/>
          <w:b/>
        </w:rPr>
        <w:t>GOVERNANCE PROFESSIONAL &amp; COMPANY SECRETARY</w:t>
      </w:r>
    </w:p>
    <w:p w:rsidR="00757803" w:rsidRPr="0023264F" w:rsidRDefault="00757803" w:rsidP="00757803">
      <w:pPr>
        <w:pStyle w:val="Heading3"/>
        <w:spacing w:after="20"/>
        <w:rPr>
          <w:rFonts w:ascii="Open Sans" w:hAnsi="Open Sans" w:cs="Open Sans"/>
          <w:color w:val="323E4F" w:themeColor="text2" w:themeShade="BF"/>
          <w:sz w:val="22"/>
          <w:szCs w:val="22"/>
        </w:rPr>
      </w:pPr>
      <w:bookmarkStart w:id="0" w:name="_GoBack"/>
      <w:r w:rsidRPr="0023264F">
        <w:rPr>
          <w:rFonts w:ascii="Open Sans" w:hAnsi="Open Sans" w:cs="Open Sans"/>
          <w:color w:val="323E4F" w:themeColor="text2" w:themeShade="BF"/>
          <w:sz w:val="22"/>
          <w:szCs w:val="22"/>
        </w:rPr>
        <w:t>Knowledge</w:t>
      </w:r>
    </w:p>
    <w:p w:rsidR="00757803" w:rsidRPr="0023264F" w:rsidRDefault="00757803" w:rsidP="00757803">
      <w:pPr>
        <w:pStyle w:val="Bodytextbullets"/>
        <w:spacing w:before="20" w:after="20"/>
        <w:ind w:left="357" w:hanging="357"/>
        <w:contextualSpacing w:val="0"/>
        <w:rPr>
          <w:rFonts w:ascii="Open Sans" w:hAnsi="Open Sans" w:cs="Open Sans"/>
          <w:color w:val="323E4F" w:themeColor="text2" w:themeShade="BF"/>
        </w:rPr>
      </w:pPr>
      <w:r w:rsidRPr="0023264F">
        <w:rPr>
          <w:rFonts w:ascii="Open Sans" w:hAnsi="Open Sans" w:cs="Open Sans"/>
          <w:color w:val="323E4F" w:themeColor="text2" w:themeShade="BF"/>
        </w:rPr>
        <w:t>the school system: structures, accountability and funding</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governance legislation, procedures and regulations relevant to an academy</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the core functions of the Governing Body of an academy</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elements of effective governance and board practice as they apply to an academy </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 xml:space="preserve">ideally the person appointed </w:t>
      </w:r>
      <w:r w:rsidR="004A75C7" w:rsidRPr="0023264F">
        <w:rPr>
          <w:rFonts w:ascii="Open Sans" w:hAnsi="Open Sans" w:cs="Open Sans"/>
          <w:color w:val="323E4F" w:themeColor="text2" w:themeShade="BF"/>
        </w:rPr>
        <w:t>w</w:t>
      </w:r>
      <w:r w:rsidRPr="0023264F">
        <w:rPr>
          <w:rFonts w:ascii="Open Sans" w:hAnsi="Open Sans" w:cs="Open Sans"/>
          <w:color w:val="323E4F" w:themeColor="text2" w:themeShade="BF"/>
        </w:rPr>
        <w:t>ould already hold a relevant clerking qualification</w:t>
      </w:r>
      <w:r w:rsidR="004A75C7" w:rsidRPr="0023264F">
        <w:rPr>
          <w:rFonts w:ascii="Open Sans" w:hAnsi="Open Sans" w:cs="Open Sans"/>
          <w:color w:val="323E4F" w:themeColor="text2" w:themeShade="BF"/>
        </w:rPr>
        <w:t xml:space="preserve"> e.g. the </w:t>
      </w:r>
      <w:hyperlink r:id="rId5" w:history="1">
        <w:r w:rsidR="004A75C7" w:rsidRPr="0023264F">
          <w:rPr>
            <w:rFonts w:ascii="Open Sans" w:hAnsi="Open Sans" w:cs="Open Sans"/>
            <w:color w:val="323E4F" w:themeColor="text2" w:themeShade="BF"/>
          </w:rPr>
          <w:t>Certificate in the Clerking of School and Academy Governing Boards</w:t>
        </w:r>
      </w:hyperlink>
      <w:r w:rsidR="004A75C7" w:rsidRPr="0023264F">
        <w:rPr>
          <w:rFonts w:ascii="Open Sans" w:hAnsi="Open Sans" w:cs="Open Sans"/>
          <w:color w:val="323E4F" w:themeColor="text2" w:themeShade="BF"/>
        </w:rPr>
        <w:t>.</w:t>
      </w:r>
      <w:r w:rsidRPr="0023264F">
        <w:rPr>
          <w:rFonts w:ascii="Open Sans" w:hAnsi="Open Sans" w:cs="Open Sans"/>
          <w:color w:val="323E4F" w:themeColor="text2" w:themeShade="BF"/>
        </w:rPr>
        <w:t xml:space="preserve"> If they do not</w:t>
      </w:r>
      <w:r w:rsidR="004A75C7" w:rsidRPr="0023264F">
        <w:rPr>
          <w:rFonts w:ascii="Open Sans" w:hAnsi="Open Sans" w:cs="Open Sans"/>
          <w:color w:val="323E4F" w:themeColor="text2" w:themeShade="BF"/>
        </w:rPr>
        <w:t>,</w:t>
      </w:r>
      <w:r w:rsidRPr="0023264F">
        <w:rPr>
          <w:rFonts w:ascii="Open Sans" w:hAnsi="Open Sans" w:cs="Open Sans"/>
          <w:color w:val="323E4F" w:themeColor="text2" w:themeShade="BF"/>
        </w:rPr>
        <w:t xml:space="preserve"> they would be expected to obtain one within 12 months of employment. This would be funded by the School</w:t>
      </w:r>
      <w:r w:rsidR="004A75C7" w:rsidRPr="0023264F">
        <w:rPr>
          <w:rFonts w:ascii="Open Sans" w:hAnsi="Open Sans" w:cs="Open Sans"/>
          <w:color w:val="323E4F" w:themeColor="text2" w:themeShade="BF"/>
        </w:rPr>
        <w:t>.</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ideally, knowledge of the legal basis on which academies operate (e.g. Members, Trustees/Directors, Articles of Association, Funding Agreement)</w:t>
      </w:r>
    </w:p>
    <w:p w:rsidR="00757803" w:rsidRPr="0023264F" w:rsidRDefault="00757803" w:rsidP="00757803">
      <w:pPr>
        <w:pStyle w:val="Heading3"/>
        <w:spacing w:after="40"/>
        <w:rPr>
          <w:rFonts w:ascii="Open Sans" w:hAnsi="Open Sans" w:cs="Open Sans"/>
          <w:color w:val="323E4F" w:themeColor="text2" w:themeShade="BF"/>
          <w:sz w:val="22"/>
          <w:szCs w:val="22"/>
        </w:rPr>
      </w:pPr>
      <w:r w:rsidRPr="0023264F">
        <w:rPr>
          <w:rFonts w:ascii="Open Sans" w:hAnsi="Open Sans" w:cs="Open Sans"/>
          <w:color w:val="323E4F" w:themeColor="text2" w:themeShade="BF"/>
          <w:sz w:val="22"/>
          <w:szCs w:val="22"/>
        </w:rPr>
        <w:t>Skills</w:t>
      </w:r>
    </w:p>
    <w:p w:rsidR="00E74111" w:rsidRPr="0023264F" w:rsidRDefault="00E74111" w:rsidP="00757803">
      <w:pPr>
        <w:pStyle w:val="Bodytextbullets"/>
        <w:spacing w:before="20" w:after="20"/>
        <w:ind w:left="357" w:hanging="357"/>
        <w:contextualSpacing w:val="0"/>
        <w:rPr>
          <w:rFonts w:ascii="Open Sans" w:hAnsi="Open Sans" w:cs="Open Sans"/>
          <w:color w:val="323E4F" w:themeColor="text2" w:themeShade="BF"/>
        </w:rPr>
      </w:pPr>
      <w:r w:rsidRPr="0023264F">
        <w:rPr>
          <w:rFonts w:ascii="Open Sans" w:hAnsi="Open Sans" w:cs="Open Sans"/>
          <w:color w:val="323E4F" w:themeColor="text2" w:themeShade="BF"/>
        </w:rPr>
        <w:t xml:space="preserve">pass in both </w:t>
      </w:r>
      <w:proofErr w:type="spellStart"/>
      <w:r w:rsidRPr="0023264F">
        <w:rPr>
          <w:rFonts w:ascii="Open Sans" w:hAnsi="Open Sans" w:cs="Open Sans"/>
          <w:color w:val="323E4F" w:themeColor="text2" w:themeShade="BF"/>
        </w:rPr>
        <w:t>Maths</w:t>
      </w:r>
      <w:proofErr w:type="spellEnd"/>
      <w:r w:rsidRPr="0023264F">
        <w:rPr>
          <w:rFonts w:ascii="Open Sans" w:hAnsi="Open Sans" w:cs="Open Sans"/>
          <w:color w:val="323E4F" w:themeColor="text2" w:themeShade="BF"/>
        </w:rPr>
        <w:t xml:space="preserve"> and English GCSE, CSE or O Level </w:t>
      </w:r>
    </w:p>
    <w:p w:rsidR="00757803" w:rsidRPr="0023264F" w:rsidRDefault="00757803" w:rsidP="00757803">
      <w:pPr>
        <w:pStyle w:val="Bodytextbullets"/>
        <w:spacing w:before="20" w:after="20"/>
        <w:ind w:left="357" w:hanging="357"/>
        <w:contextualSpacing w:val="0"/>
        <w:rPr>
          <w:rFonts w:ascii="Open Sans" w:hAnsi="Open Sans" w:cs="Open Sans"/>
          <w:color w:val="323E4F" w:themeColor="text2" w:themeShade="BF"/>
        </w:rPr>
      </w:pPr>
      <w:r w:rsidRPr="0023264F">
        <w:rPr>
          <w:rFonts w:ascii="Open Sans" w:hAnsi="Open Sans" w:cs="Open Sans"/>
          <w:color w:val="323E4F" w:themeColor="text2" w:themeShade="BF"/>
        </w:rPr>
        <w:t>excellent literacy, numeracy and IT</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excellent written and verbal communication</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extensive experience of minute taking</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 xml:space="preserve">experience of planning and </w:t>
      </w:r>
      <w:proofErr w:type="spellStart"/>
      <w:r w:rsidRPr="0023264F">
        <w:rPr>
          <w:rFonts w:ascii="Open Sans" w:hAnsi="Open Sans" w:cs="Open Sans"/>
          <w:color w:val="323E4F" w:themeColor="text2" w:themeShade="BF"/>
        </w:rPr>
        <w:t>organisational</w:t>
      </w:r>
      <w:proofErr w:type="spellEnd"/>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people and relationship building</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risk aware/able to articulate risk in the context</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problem solving</w:t>
      </w:r>
    </w:p>
    <w:p w:rsidR="00757803" w:rsidRPr="0023264F" w:rsidRDefault="00757803" w:rsidP="00757803">
      <w:pPr>
        <w:pStyle w:val="Bodytextbullets"/>
        <w:rPr>
          <w:rFonts w:ascii="Open Sans" w:hAnsi="Open Sans" w:cs="Open Sans"/>
          <w:color w:val="323E4F" w:themeColor="text2" w:themeShade="BF"/>
        </w:rPr>
      </w:pPr>
      <w:r w:rsidRPr="0023264F">
        <w:rPr>
          <w:rFonts w:ascii="Open Sans" w:hAnsi="Open Sans" w:cs="Open Sans"/>
          <w:color w:val="323E4F" w:themeColor="text2" w:themeShade="BF"/>
        </w:rPr>
        <w:t>excellent time management in order to meet deadlines and competing demands</w:t>
      </w:r>
    </w:p>
    <w:p w:rsidR="00757803" w:rsidRPr="0023264F" w:rsidRDefault="00757803" w:rsidP="00757803">
      <w:pPr>
        <w:pStyle w:val="Heading3"/>
        <w:spacing w:after="40"/>
        <w:rPr>
          <w:rFonts w:ascii="Open Sans" w:hAnsi="Open Sans" w:cs="Open Sans"/>
          <w:color w:val="323E4F" w:themeColor="text2" w:themeShade="BF"/>
          <w:sz w:val="22"/>
          <w:szCs w:val="22"/>
        </w:rPr>
      </w:pPr>
      <w:r w:rsidRPr="0023264F">
        <w:rPr>
          <w:rFonts w:ascii="Open Sans" w:hAnsi="Open Sans" w:cs="Open Sans"/>
          <w:color w:val="323E4F" w:themeColor="text2" w:themeShade="BF"/>
          <w:sz w:val="22"/>
          <w:szCs w:val="22"/>
        </w:rPr>
        <w:t>Attributes</w:t>
      </w:r>
    </w:p>
    <w:p w:rsidR="00757803" w:rsidRPr="0023264F" w:rsidRDefault="00757803" w:rsidP="00757803">
      <w:pPr>
        <w:pStyle w:val="Bodytextbullets"/>
        <w:spacing w:before="20" w:after="20"/>
        <w:ind w:left="357" w:hanging="357"/>
        <w:contextualSpacing w:val="0"/>
        <w:rPr>
          <w:rStyle w:val="Hyperlink"/>
          <w:rFonts w:ascii="Open Sans" w:hAnsi="Open Sans" w:cs="Open Sans"/>
          <w:color w:val="323E4F" w:themeColor="text2" w:themeShade="BF"/>
          <w:u w:val="none"/>
        </w:rPr>
      </w:pPr>
      <w:r w:rsidRPr="0023264F">
        <w:rPr>
          <w:rFonts w:ascii="Open Sans" w:hAnsi="Open Sans" w:cs="Open Sans"/>
          <w:color w:val="323E4F" w:themeColor="text2" w:themeShade="BF"/>
        </w:rPr>
        <w:t>personal integrity and commitment to the Nolan Principles of Public Life:</w:t>
      </w:r>
    </w:p>
    <w:p w:rsidR="00757803" w:rsidRPr="0023264F" w:rsidRDefault="0023264F" w:rsidP="00757803">
      <w:pPr>
        <w:pStyle w:val="Bodytextbullets"/>
        <w:numPr>
          <w:ilvl w:val="0"/>
          <w:numId w:val="0"/>
        </w:numPr>
        <w:spacing w:before="20" w:after="20"/>
        <w:ind w:left="357"/>
        <w:contextualSpacing w:val="0"/>
        <w:rPr>
          <w:rFonts w:ascii="Open Sans" w:hAnsi="Open Sans" w:cs="Open Sans"/>
          <w:color w:val="323E4F" w:themeColor="text2" w:themeShade="BF"/>
        </w:rPr>
      </w:pPr>
      <w:r w:rsidRPr="0023264F">
        <w:rPr>
          <w:rFonts w:ascii="Open Sans" w:hAnsi="Open Sans" w:cs="Open Sans"/>
          <w:b/>
          <w:color w:val="323E4F" w:themeColor="text2" w:themeShade="BF"/>
        </w:rPr>
        <w:t>Selflessness</w:t>
      </w:r>
      <w:r w:rsidR="00757803" w:rsidRPr="0023264F">
        <w:rPr>
          <w:rFonts w:ascii="Open Sans" w:hAnsi="Open Sans" w:cs="Open Sans"/>
          <w:color w:val="323E4F" w:themeColor="text2" w:themeShade="BF"/>
        </w:rPr>
        <w:t xml:space="preserve"> - holders of public office should act solely in terms of the public interest</w:t>
      </w:r>
    </w:p>
    <w:p w:rsidR="00757803" w:rsidRPr="0023264F" w:rsidRDefault="00757803" w:rsidP="00757803">
      <w:pPr>
        <w:pStyle w:val="Bodytextbullets"/>
        <w:numPr>
          <w:ilvl w:val="0"/>
          <w:numId w:val="0"/>
        </w:numPr>
        <w:spacing w:before="20" w:after="20"/>
        <w:ind w:left="357"/>
        <w:contextualSpacing w:val="0"/>
        <w:rPr>
          <w:rFonts w:ascii="Open Sans" w:hAnsi="Open Sans" w:cs="Open Sans"/>
          <w:color w:val="323E4F" w:themeColor="text2" w:themeShade="BF"/>
        </w:rPr>
      </w:pPr>
      <w:r w:rsidRPr="0023264F">
        <w:rPr>
          <w:rFonts w:ascii="Open Sans" w:hAnsi="Open Sans" w:cs="Open Sans"/>
          <w:b/>
          <w:color w:val="323E4F" w:themeColor="text2" w:themeShade="BF"/>
        </w:rPr>
        <w:t xml:space="preserve">Integrity - </w:t>
      </w:r>
      <w:r w:rsidRPr="0023264F">
        <w:rPr>
          <w:rFonts w:ascii="Open Sans" w:hAnsi="Open Sans" w:cs="Open Sans"/>
          <w:color w:val="323E4F" w:themeColor="text2" w:themeShade="BF"/>
        </w:rPr>
        <w:t xml:space="preserve">holders of public office must avoid placing themselves under any obligation to people or </w:t>
      </w:r>
      <w:proofErr w:type="spellStart"/>
      <w:r w:rsidRPr="0023264F">
        <w:rPr>
          <w:rFonts w:ascii="Open Sans" w:hAnsi="Open Sans" w:cs="Open Sans"/>
          <w:color w:val="323E4F" w:themeColor="text2" w:themeShade="BF"/>
        </w:rPr>
        <w:t>organisations</w:t>
      </w:r>
      <w:proofErr w:type="spellEnd"/>
      <w:r w:rsidRPr="0023264F">
        <w:rPr>
          <w:rFonts w:ascii="Open Sans" w:hAnsi="Open Sans" w:cs="Open Sans"/>
          <w:color w:val="323E4F" w:themeColor="text2" w:themeShade="BF"/>
        </w:rPr>
        <w:t xml:space="preserve"> that might try inappropriately to influence them in their work. They should not act or take decisions in order to gain financial or other material benefits for themselves, their family, or their friends. They must declare and resolve any interests and relationships</w:t>
      </w:r>
    </w:p>
    <w:p w:rsidR="00757803" w:rsidRPr="0023264F" w:rsidRDefault="00757803" w:rsidP="00757803">
      <w:pPr>
        <w:pStyle w:val="Bodytextbullets"/>
        <w:numPr>
          <w:ilvl w:val="0"/>
          <w:numId w:val="0"/>
        </w:numPr>
        <w:spacing w:before="20" w:after="20"/>
        <w:ind w:left="357"/>
        <w:contextualSpacing w:val="0"/>
        <w:rPr>
          <w:rFonts w:ascii="Open Sans" w:hAnsi="Open Sans" w:cs="Open Sans"/>
          <w:color w:val="323E4F" w:themeColor="text2" w:themeShade="BF"/>
        </w:rPr>
      </w:pPr>
      <w:r w:rsidRPr="0023264F">
        <w:rPr>
          <w:rFonts w:ascii="Open Sans" w:hAnsi="Open Sans" w:cs="Open Sans"/>
          <w:b/>
          <w:color w:val="323E4F" w:themeColor="text2" w:themeShade="BF"/>
        </w:rPr>
        <w:t xml:space="preserve">Objectivity - </w:t>
      </w:r>
      <w:r w:rsidRPr="0023264F">
        <w:rPr>
          <w:rFonts w:ascii="Open Sans" w:hAnsi="Open Sans" w:cs="Open Sans"/>
          <w:color w:val="323E4F" w:themeColor="text2" w:themeShade="BF"/>
        </w:rPr>
        <w:t>holders of public office must act and take decisions impartially, fairly and on merit, using the best evidence and without discrimination or bias</w:t>
      </w:r>
    </w:p>
    <w:p w:rsidR="00757803" w:rsidRPr="0023264F" w:rsidRDefault="00757803" w:rsidP="00757803">
      <w:pPr>
        <w:pStyle w:val="Bodytextbullets"/>
        <w:numPr>
          <w:ilvl w:val="0"/>
          <w:numId w:val="0"/>
        </w:numPr>
        <w:spacing w:before="20" w:after="20"/>
        <w:ind w:left="357"/>
        <w:contextualSpacing w:val="0"/>
        <w:rPr>
          <w:rFonts w:ascii="Open Sans" w:hAnsi="Open Sans" w:cs="Open Sans"/>
          <w:color w:val="323E4F" w:themeColor="text2" w:themeShade="BF"/>
        </w:rPr>
      </w:pPr>
      <w:r w:rsidRPr="0023264F">
        <w:rPr>
          <w:rFonts w:ascii="Open Sans" w:hAnsi="Open Sans" w:cs="Open Sans"/>
          <w:b/>
          <w:color w:val="323E4F" w:themeColor="text2" w:themeShade="BF"/>
        </w:rPr>
        <w:t xml:space="preserve">Accountability - </w:t>
      </w:r>
      <w:r w:rsidR="0023264F" w:rsidRPr="0023264F">
        <w:rPr>
          <w:rFonts w:ascii="Open Sans" w:hAnsi="Open Sans" w:cs="Open Sans"/>
          <w:color w:val="323E4F" w:themeColor="text2" w:themeShade="BF"/>
        </w:rPr>
        <w:t>holders</w:t>
      </w:r>
      <w:r w:rsidRPr="0023264F">
        <w:rPr>
          <w:rFonts w:ascii="Open Sans" w:hAnsi="Open Sans" w:cs="Open Sans"/>
          <w:color w:val="323E4F" w:themeColor="text2" w:themeShade="BF"/>
        </w:rPr>
        <w:t xml:space="preserve"> of public office are accountable to the public for their decisions and actions and must submit themselves to the scrutiny necessary to ensure this.</w:t>
      </w:r>
    </w:p>
    <w:p w:rsidR="00757803" w:rsidRPr="0023264F" w:rsidRDefault="00757803" w:rsidP="00757803">
      <w:pPr>
        <w:pStyle w:val="Bodytextbullets"/>
        <w:numPr>
          <w:ilvl w:val="0"/>
          <w:numId w:val="0"/>
        </w:numPr>
        <w:spacing w:before="20" w:after="20"/>
        <w:ind w:left="357"/>
        <w:contextualSpacing w:val="0"/>
        <w:rPr>
          <w:rFonts w:ascii="Open Sans" w:hAnsi="Open Sans" w:cs="Open Sans"/>
          <w:color w:val="323E4F" w:themeColor="text2" w:themeShade="BF"/>
        </w:rPr>
      </w:pPr>
      <w:r w:rsidRPr="0023264F">
        <w:rPr>
          <w:rFonts w:ascii="Open Sans" w:hAnsi="Open Sans" w:cs="Open Sans"/>
          <w:b/>
          <w:color w:val="323E4F" w:themeColor="text2" w:themeShade="BF"/>
        </w:rPr>
        <w:t>Openness -</w:t>
      </w:r>
      <w:r w:rsidRPr="0023264F">
        <w:rPr>
          <w:rFonts w:ascii="Open Sans" w:hAnsi="Open Sans" w:cs="Open Sans"/>
          <w:color w:val="323E4F" w:themeColor="text2" w:themeShade="BF"/>
        </w:rPr>
        <w:t xml:space="preserve"> holders of public office should act and take decisions in an open and transparent manner. Information should not be withheld from the public unless there are clear and lawful reasons for so doing.</w:t>
      </w:r>
    </w:p>
    <w:p w:rsidR="00757803" w:rsidRPr="0023264F" w:rsidRDefault="00757803" w:rsidP="00757803">
      <w:pPr>
        <w:pStyle w:val="Bodytextbullets"/>
        <w:numPr>
          <w:ilvl w:val="0"/>
          <w:numId w:val="0"/>
        </w:numPr>
        <w:spacing w:before="20" w:after="20"/>
        <w:ind w:left="357"/>
        <w:contextualSpacing w:val="0"/>
        <w:rPr>
          <w:rFonts w:ascii="Open Sans" w:hAnsi="Open Sans" w:cs="Open Sans"/>
          <w:color w:val="323E4F" w:themeColor="text2" w:themeShade="BF"/>
        </w:rPr>
      </w:pPr>
      <w:r w:rsidRPr="0023264F">
        <w:rPr>
          <w:rFonts w:ascii="Open Sans" w:hAnsi="Open Sans" w:cs="Open Sans"/>
          <w:b/>
          <w:color w:val="323E4F" w:themeColor="text2" w:themeShade="BF"/>
        </w:rPr>
        <w:t>Honesty -</w:t>
      </w:r>
      <w:r w:rsidRPr="0023264F">
        <w:rPr>
          <w:rFonts w:ascii="Open Sans" w:hAnsi="Open Sans" w:cs="Open Sans"/>
          <w:color w:val="323E4F" w:themeColor="text2" w:themeShade="BF"/>
        </w:rPr>
        <w:t xml:space="preserve"> holders of public office should be truthful</w:t>
      </w:r>
    </w:p>
    <w:p w:rsidR="00757803" w:rsidRPr="0023264F" w:rsidRDefault="00757803" w:rsidP="00757803">
      <w:pPr>
        <w:pStyle w:val="Bodytextbullets"/>
        <w:numPr>
          <w:ilvl w:val="0"/>
          <w:numId w:val="0"/>
        </w:numPr>
        <w:spacing w:before="20" w:after="20"/>
        <w:ind w:left="357"/>
        <w:contextualSpacing w:val="0"/>
        <w:rPr>
          <w:rFonts w:ascii="Open Sans" w:hAnsi="Open Sans" w:cs="Open Sans"/>
          <w:color w:val="323E4F" w:themeColor="text2" w:themeShade="BF"/>
        </w:rPr>
      </w:pPr>
      <w:r w:rsidRPr="0023264F">
        <w:rPr>
          <w:rFonts w:ascii="Open Sans" w:hAnsi="Open Sans" w:cs="Open Sans"/>
          <w:b/>
          <w:color w:val="323E4F" w:themeColor="text2" w:themeShade="BF"/>
        </w:rPr>
        <w:t>Leadership -</w:t>
      </w:r>
      <w:r w:rsidRPr="0023264F">
        <w:rPr>
          <w:rFonts w:ascii="Open Sans" w:hAnsi="Open Sans" w:cs="Open Sans"/>
          <w:color w:val="323E4F" w:themeColor="text2" w:themeShade="BF"/>
        </w:rPr>
        <w:t xml:space="preserve"> holders of public office should exhibit these principles in their own </w:t>
      </w:r>
      <w:proofErr w:type="spellStart"/>
      <w:r w:rsidRPr="0023264F">
        <w:rPr>
          <w:rFonts w:ascii="Open Sans" w:hAnsi="Open Sans" w:cs="Open Sans"/>
          <w:color w:val="323E4F" w:themeColor="text2" w:themeShade="BF"/>
        </w:rPr>
        <w:t>behaviour</w:t>
      </w:r>
      <w:proofErr w:type="spellEnd"/>
      <w:r w:rsidRPr="0023264F">
        <w:rPr>
          <w:rFonts w:ascii="Open Sans" w:hAnsi="Open Sans" w:cs="Open Sans"/>
          <w:color w:val="323E4F" w:themeColor="text2" w:themeShade="BF"/>
        </w:rPr>
        <w:t xml:space="preserve"> and treat others with respect. They should actively promote and robustly support the principles and challenge poor </w:t>
      </w:r>
      <w:proofErr w:type="spellStart"/>
      <w:r w:rsidRPr="0023264F">
        <w:rPr>
          <w:rFonts w:ascii="Open Sans" w:hAnsi="Open Sans" w:cs="Open Sans"/>
          <w:color w:val="323E4F" w:themeColor="text2" w:themeShade="BF"/>
        </w:rPr>
        <w:t>behaviour</w:t>
      </w:r>
      <w:proofErr w:type="spellEnd"/>
      <w:r w:rsidRPr="0023264F">
        <w:rPr>
          <w:rFonts w:ascii="Open Sans" w:hAnsi="Open Sans" w:cs="Open Sans"/>
          <w:color w:val="323E4F" w:themeColor="text2" w:themeShade="BF"/>
        </w:rPr>
        <w:t xml:space="preserve"> wherever it occurs.</w:t>
      </w:r>
    </w:p>
    <w:p w:rsidR="00757803" w:rsidRPr="0023264F" w:rsidRDefault="00757803" w:rsidP="00757803">
      <w:pPr>
        <w:pStyle w:val="Bodytextbullets"/>
        <w:spacing w:before="20" w:after="20"/>
        <w:contextualSpacing w:val="0"/>
        <w:rPr>
          <w:rFonts w:ascii="Open Sans" w:hAnsi="Open Sans" w:cs="Open Sans"/>
          <w:color w:val="323E4F" w:themeColor="text2" w:themeShade="BF"/>
        </w:rPr>
      </w:pPr>
      <w:r w:rsidRPr="0023264F">
        <w:rPr>
          <w:rFonts w:ascii="Open Sans" w:hAnsi="Open Sans" w:cs="Open Sans"/>
          <w:color w:val="323E4F" w:themeColor="text2" w:themeShade="BF"/>
        </w:rPr>
        <w:t>respect for confidentiality</w:t>
      </w:r>
    </w:p>
    <w:p w:rsidR="00757803" w:rsidRPr="0023264F" w:rsidRDefault="00757803" w:rsidP="00757803">
      <w:pPr>
        <w:pStyle w:val="Bodytextbullets"/>
        <w:spacing w:before="20" w:after="20"/>
        <w:contextualSpacing w:val="0"/>
        <w:rPr>
          <w:rFonts w:ascii="Open Sans" w:hAnsi="Open Sans" w:cs="Open Sans"/>
          <w:color w:val="323E4F" w:themeColor="text2" w:themeShade="BF"/>
        </w:rPr>
      </w:pPr>
      <w:r w:rsidRPr="0023264F">
        <w:rPr>
          <w:rFonts w:ascii="Open Sans" w:hAnsi="Open Sans" w:cs="Open Sans"/>
          <w:color w:val="323E4F" w:themeColor="text2" w:themeShade="BF"/>
        </w:rPr>
        <w:t xml:space="preserve">confidence and resilience </w:t>
      </w:r>
    </w:p>
    <w:p w:rsidR="00757803" w:rsidRPr="0023264F" w:rsidRDefault="00757803" w:rsidP="00757803">
      <w:pPr>
        <w:pStyle w:val="Bodytextbullets"/>
        <w:spacing w:before="20" w:after="20"/>
        <w:contextualSpacing w:val="0"/>
        <w:rPr>
          <w:rFonts w:ascii="Open Sans" w:hAnsi="Open Sans" w:cs="Open Sans"/>
          <w:color w:val="323E4F" w:themeColor="text2" w:themeShade="BF"/>
        </w:rPr>
      </w:pPr>
      <w:r w:rsidRPr="0023264F">
        <w:rPr>
          <w:rFonts w:ascii="Open Sans" w:hAnsi="Open Sans" w:cs="Open Sans"/>
          <w:color w:val="323E4F" w:themeColor="text2" w:themeShade="BF"/>
        </w:rPr>
        <w:t>able to challenge when necessary</w:t>
      </w:r>
    </w:p>
    <w:p w:rsidR="009C1073" w:rsidRPr="004A75C7" w:rsidRDefault="00757803" w:rsidP="004A75C7">
      <w:pPr>
        <w:pStyle w:val="Bodytextbullets"/>
        <w:spacing w:before="20" w:after="160"/>
        <w:ind w:left="357" w:hanging="357"/>
        <w:contextualSpacing w:val="0"/>
        <w:rPr>
          <w:rFonts w:ascii="Open Sans" w:hAnsi="Open Sans" w:cs="Open Sans"/>
          <w:color w:val="auto"/>
        </w:rPr>
      </w:pPr>
      <w:r w:rsidRPr="0023264F">
        <w:rPr>
          <w:rFonts w:ascii="Open Sans" w:hAnsi="Open Sans" w:cs="Open Sans"/>
          <w:color w:val="323E4F" w:themeColor="text2" w:themeShade="BF"/>
        </w:rPr>
        <w:t>commitment to prof</w:t>
      </w:r>
      <w:bookmarkEnd w:id="0"/>
      <w:r w:rsidRPr="00757803">
        <w:rPr>
          <w:rFonts w:ascii="Open Sans" w:hAnsi="Open Sans" w:cs="Open Sans"/>
          <w:color w:val="auto"/>
        </w:rPr>
        <w:t>essional development to maintain knowledge and improve practice</w:t>
      </w:r>
    </w:p>
    <w:sectPr w:rsidR="009C1073" w:rsidRPr="004A75C7" w:rsidSect="00757803">
      <w:pgSz w:w="11906" w:h="16838"/>
      <w:pgMar w:top="426" w:right="99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ew Kansas SemiBold">
    <w:altName w:val="Calibri"/>
    <w:panose1 w:val="00000000000000000000"/>
    <w:charset w:val="00"/>
    <w:family w:val="modern"/>
    <w:notTrueType/>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Lexend Deca Light">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03"/>
    <w:rsid w:val="0023264F"/>
    <w:rsid w:val="004A75C7"/>
    <w:rsid w:val="00757803"/>
    <w:rsid w:val="009C1073"/>
    <w:rsid w:val="00E7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E26FA-9B8C-4A5A-9431-926A2C9D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57803"/>
    <w:pPr>
      <w:keepNext/>
      <w:keepLines/>
      <w:spacing w:before="40" w:after="60" w:line="192" w:lineRule="auto"/>
      <w:outlineLvl w:val="1"/>
    </w:pPr>
    <w:rPr>
      <w:rFonts w:ascii="New Kansas SemiBold" w:eastAsiaTheme="majorEastAsia" w:hAnsi="New Kansas SemiBold" w:cstheme="majorBidi"/>
      <w:b/>
      <w:color w:val="00407B"/>
      <w:sz w:val="48"/>
      <w:szCs w:val="26"/>
    </w:rPr>
  </w:style>
  <w:style w:type="paragraph" w:styleId="Heading3">
    <w:name w:val="heading 3"/>
    <w:basedOn w:val="Normal"/>
    <w:next w:val="Normal"/>
    <w:link w:val="Heading3Char"/>
    <w:uiPriority w:val="9"/>
    <w:unhideWhenUsed/>
    <w:qFormat/>
    <w:rsid w:val="00757803"/>
    <w:pPr>
      <w:keepNext/>
      <w:keepLines/>
      <w:spacing w:before="40" w:after="60" w:line="192" w:lineRule="auto"/>
      <w:outlineLvl w:val="2"/>
    </w:pPr>
    <w:rPr>
      <w:rFonts w:ascii="Lexend Deca SemiBold" w:eastAsiaTheme="majorEastAsia" w:hAnsi="Lexend Deca SemiBold" w:cstheme="majorBidi"/>
      <w:b/>
      <w:color w:val="00407B"/>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7803"/>
    <w:rPr>
      <w:rFonts w:ascii="New Kansas SemiBold" w:eastAsiaTheme="majorEastAsia" w:hAnsi="New Kansas SemiBold" w:cstheme="majorBidi"/>
      <w:b/>
      <w:color w:val="00407B"/>
      <w:sz w:val="48"/>
      <w:szCs w:val="26"/>
    </w:rPr>
  </w:style>
  <w:style w:type="character" w:customStyle="1" w:styleId="Heading3Char">
    <w:name w:val="Heading 3 Char"/>
    <w:basedOn w:val="DefaultParagraphFont"/>
    <w:link w:val="Heading3"/>
    <w:uiPriority w:val="9"/>
    <w:rsid w:val="00757803"/>
    <w:rPr>
      <w:rFonts w:ascii="Lexend Deca SemiBold" w:eastAsiaTheme="majorEastAsia" w:hAnsi="Lexend Deca SemiBold" w:cstheme="majorBidi"/>
      <w:b/>
      <w:color w:val="00407B"/>
      <w:sz w:val="36"/>
      <w:szCs w:val="24"/>
    </w:rPr>
  </w:style>
  <w:style w:type="character" w:styleId="Hyperlink">
    <w:name w:val="Hyperlink"/>
    <w:basedOn w:val="DefaultParagraphFont"/>
    <w:uiPriority w:val="99"/>
    <w:unhideWhenUsed/>
    <w:rsid w:val="00757803"/>
    <w:rPr>
      <w:color w:val="0563C1" w:themeColor="hyperlink"/>
      <w:u w:val="single"/>
    </w:rPr>
  </w:style>
  <w:style w:type="paragraph" w:customStyle="1" w:styleId="Bodytext1">
    <w:name w:val="Body text 1"/>
    <w:basedOn w:val="Normal"/>
    <w:qFormat/>
    <w:rsid w:val="00757803"/>
    <w:pPr>
      <w:spacing w:before="120" w:after="120"/>
    </w:pPr>
    <w:rPr>
      <w:rFonts w:ascii="Lexend Deca Light" w:hAnsi="Lexend Deca Light"/>
      <w:color w:val="000000" w:themeColor="text1"/>
      <w:lang w:val="en-US"/>
    </w:rPr>
  </w:style>
  <w:style w:type="paragraph" w:customStyle="1" w:styleId="Bodytextbullets">
    <w:name w:val="Body text bullets"/>
    <w:basedOn w:val="ListParagraph"/>
    <w:qFormat/>
    <w:rsid w:val="00757803"/>
    <w:pPr>
      <w:numPr>
        <w:numId w:val="1"/>
      </w:numPr>
      <w:spacing w:before="120" w:after="120"/>
    </w:pPr>
    <w:rPr>
      <w:rFonts w:ascii="Lexend Deca Light" w:eastAsiaTheme="minorEastAsia" w:hAnsi="Lexend Deca Light"/>
      <w:color w:val="2E2726"/>
      <w:lang w:val="en-US"/>
    </w:rPr>
  </w:style>
  <w:style w:type="paragraph" w:styleId="ListParagraph">
    <w:name w:val="List Paragraph"/>
    <w:basedOn w:val="Normal"/>
    <w:uiPriority w:val="34"/>
    <w:qFormat/>
    <w:rsid w:val="00757803"/>
    <w:pPr>
      <w:ind w:left="720"/>
      <w:contextualSpacing/>
    </w:pPr>
  </w:style>
  <w:style w:type="character" w:styleId="FollowedHyperlink">
    <w:name w:val="FollowedHyperlink"/>
    <w:basedOn w:val="DefaultParagraphFont"/>
    <w:uiPriority w:val="99"/>
    <w:semiHidden/>
    <w:unhideWhenUsed/>
    <w:rsid w:val="00757803"/>
    <w:rPr>
      <w:color w:val="954F72" w:themeColor="followedHyperlink"/>
      <w:u w:val="single"/>
    </w:rPr>
  </w:style>
  <w:style w:type="character" w:customStyle="1" w:styleId="number">
    <w:name w:val="number"/>
    <w:basedOn w:val="DefaultParagraphFont"/>
    <w:rsid w:val="00757803"/>
  </w:style>
  <w:style w:type="paragraph" w:styleId="NormalWeb">
    <w:name w:val="Normal (Web)"/>
    <w:basedOn w:val="Normal"/>
    <w:uiPriority w:val="99"/>
    <w:unhideWhenUsed/>
    <w:rsid w:val="007578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2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ga.org.uk/LeadingGovernance/Clerk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L.Hunter</dc:creator>
  <cp:keywords/>
  <dc:description/>
  <cp:lastModifiedBy>K.Robinson</cp:lastModifiedBy>
  <cp:revision>2</cp:revision>
  <cp:lastPrinted>2023-07-19T08:43:00Z</cp:lastPrinted>
  <dcterms:created xsi:type="dcterms:W3CDTF">2023-07-19T08:43:00Z</dcterms:created>
  <dcterms:modified xsi:type="dcterms:W3CDTF">2023-07-19T08:43:00Z</dcterms:modified>
</cp:coreProperties>
</file>