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ormalWeb"/>
      </w:pPr>
      <w:r>
        <w:rPr>
          <w:noProof/>
        </w:rPr>
        <w:drawing>
          <wp:anchor distT="0" distB="0" distL="114300" distR="114300" simplePos="0" relativeHeight="251658240" behindDoc="1" locked="0" layoutInCell="1" allowOverlap="1">
            <wp:simplePos x="0" y="0"/>
            <wp:positionH relativeFrom="column">
              <wp:posOffset>247650</wp:posOffset>
            </wp:positionH>
            <wp:positionV relativeFrom="page">
              <wp:posOffset>485775</wp:posOffset>
            </wp:positionV>
            <wp:extent cx="4800600" cy="1581150"/>
            <wp:effectExtent l="0" t="0" r="0" b="0"/>
            <wp:wrapTight wrapText="bothSides">
              <wp:wrapPolygon edited="0">
                <wp:start x="0" y="0"/>
                <wp:lineTo x="0" y="21340"/>
                <wp:lineTo x="21514" y="21340"/>
                <wp:lineTo x="21514" y="0"/>
                <wp:lineTo x="0" y="0"/>
              </wp:wrapPolygon>
            </wp:wrapTight>
            <wp:docPr id="1" name="Picture 1" descr="O:\All new from April 2025\Masters and templ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ll new from April 2025\Masters and templat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1581150"/>
                    </a:xfrm>
                    <a:prstGeom prst="rect">
                      <a:avLst/>
                    </a:prstGeom>
                    <a:noFill/>
                    <a:ln>
                      <a:noFill/>
                    </a:ln>
                  </pic:spPr>
                </pic:pic>
              </a:graphicData>
            </a:graphic>
          </wp:anchor>
        </w:drawing>
      </w:r>
    </w:p>
    <w:p>
      <w:pPr>
        <w:rPr>
          <w:u w:val="single"/>
        </w:rPr>
      </w:pPr>
    </w:p>
    <w:p>
      <w:pPr>
        <w:rPr>
          <w:u w:val="single"/>
        </w:rPr>
      </w:pPr>
    </w:p>
    <w:p>
      <w:pPr>
        <w:rPr>
          <w:u w:val="single"/>
        </w:rPr>
      </w:pPr>
    </w:p>
    <w:p>
      <w:pPr>
        <w:jc w:val="center"/>
        <w:rPr>
          <w:b/>
          <w:sz w:val="32"/>
        </w:rPr>
      </w:pPr>
      <w:r>
        <w:rPr>
          <w:b/>
          <w:sz w:val="32"/>
        </w:rPr>
        <w:t xml:space="preserve">JOB DESCRIPTION </w:t>
      </w:r>
    </w:p>
    <w:p>
      <w:pPr>
        <w:jc w:val="center"/>
        <w:rPr>
          <w:b/>
          <w:sz w:val="32"/>
        </w:rPr>
      </w:pPr>
      <w:r>
        <w:rPr>
          <w:b/>
          <w:sz w:val="32"/>
        </w:rPr>
        <w:t>School Counsellor (Maternity Cover)</w:t>
      </w:r>
    </w:p>
    <w:p>
      <w:pPr>
        <w:jc w:val="center"/>
        <w:rPr>
          <w:b/>
          <w:sz w:val="32"/>
        </w:rPr>
      </w:pPr>
      <w:r>
        <w:rPr>
          <w:b/>
          <w:sz w:val="32"/>
        </w:rPr>
        <w:t>____________________________________________________</w:t>
      </w:r>
    </w:p>
    <w:p>
      <w:pPr>
        <w:jc w:val="both"/>
        <w:rPr>
          <w:rFonts w:cstheme="minorHAnsi"/>
          <w:b/>
        </w:rPr>
      </w:pPr>
      <w:r>
        <w:rPr>
          <w:rFonts w:cstheme="minorHAnsi"/>
          <w:b/>
        </w:rPr>
        <w:t xml:space="preserve">Job Title: </w:t>
      </w:r>
      <w:r>
        <w:rPr>
          <w:rFonts w:cstheme="minorHAnsi"/>
        </w:rPr>
        <w:t>School Counsellor</w:t>
      </w:r>
    </w:p>
    <w:p>
      <w:pPr>
        <w:jc w:val="both"/>
        <w:rPr>
          <w:rFonts w:cstheme="minorHAnsi"/>
          <w:b/>
        </w:rPr>
      </w:pPr>
      <w:r>
        <w:rPr>
          <w:rFonts w:cstheme="minorHAnsi"/>
          <w:b/>
        </w:rPr>
        <w:t>Pay Scale: £29,167 – £</w:t>
      </w:r>
      <w:bookmarkStart w:id="0" w:name="_GoBack"/>
      <w:bookmarkEnd w:id="0"/>
      <w:r>
        <w:rPr>
          <w:rFonts w:cstheme="minorHAnsi"/>
          <w:b/>
        </w:rPr>
        <w:t>30,934 Pro Rata plus SEN Allowance</w:t>
      </w:r>
    </w:p>
    <w:p>
      <w:pPr>
        <w:jc w:val="both"/>
        <w:rPr>
          <w:rFonts w:cstheme="minorHAnsi"/>
          <w:b/>
        </w:rPr>
      </w:pPr>
      <w:r>
        <w:rPr>
          <w:rFonts w:cstheme="minorHAnsi"/>
          <w:b/>
        </w:rPr>
        <w:t xml:space="preserve">Accountable to: </w:t>
      </w:r>
      <w:proofErr w:type="spellStart"/>
      <w:r>
        <w:rPr>
          <w:rFonts w:cstheme="minorHAnsi"/>
        </w:rPr>
        <w:t>SENCo</w:t>
      </w:r>
      <w:proofErr w:type="spellEnd"/>
    </w:p>
    <w:p>
      <w:pPr>
        <w:spacing w:after="0" w:line="240" w:lineRule="auto"/>
        <w:rPr>
          <w:rFonts w:eastAsia="Times New Roman" w:cstheme="minorHAnsi"/>
        </w:rPr>
      </w:pPr>
      <w:r>
        <w:rPr>
          <w:rFonts w:eastAsia="Times New Roman" w:cstheme="minorHAnsi"/>
          <w:b/>
        </w:rPr>
        <w:t>Hours</w:t>
      </w:r>
      <w:r>
        <w:rPr>
          <w:rFonts w:eastAsia="Times New Roman" w:cstheme="minorHAnsi"/>
        </w:rPr>
        <w:t>:  Monday &amp; Tuesday (13 hours)</w:t>
      </w:r>
    </w:p>
    <w:p>
      <w:pPr>
        <w:spacing w:after="0" w:line="240" w:lineRule="auto"/>
        <w:rPr>
          <w:rFonts w:eastAsia="Times New Roman" w:cstheme="minorHAnsi"/>
        </w:rPr>
      </w:pPr>
    </w:p>
    <w:p>
      <w:pPr>
        <w:spacing w:after="0" w:line="240" w:lineRule="auto"/>
        <w:ind w:left="2160" w:hanging="2160"/>
        <w:rPr>
          <w:rFonts w:eastAsia="Times New Roman" w:cstheme="minorHAnsi"/>
        </w:rPr>
      </w:pPr>
      <w:r>
        <w:rPr>
          <w:rFonts w:eastAsia="Times New Roman" w:cstheme="minorHAnsi"/>
          <w:b/>
        </w:rPr>
        <w:t>Contract</w:t>
      </w:r>
      <w:r>
        <w:rPr>
          <w:rFonts w:eastAsia="Times New Roman" w:cstheme="minorHAnsi"/>
        </w:rPr>
        <w:t>: Temporary position - Maternity Cover, to start in September 2026</w:t>
      </w:r>
    </w:p>
    <w:p>
      <w:pPr>
        <w:spacing w:after="0" w:line="240" w:lineRule="auto"/>
        <w:rPr>
          <w:rFonts w:eastAsia="Times New Roman" w:cstheme="minorHAnsi"/>
          <w:b/>
        </w:rPr>
      </w:pPr>
    </w:p>
    <w:p>
      <w:pPr>
        <w:spacing w:after="0" w:line="240" w:lineRule="auto"/>
        <w:rPr>
          <w:rFonts w:eastAsia="Times New Roman" w:cstheme="minorHAnsi"/>
          <w:b/>
        </w:rPr>
      </w:pPr>
      <w:r>
        <w:rPr>
          <w:rFonts w:eastAsia="Times New Roman" w:cstheme="minorHAnsi"/>
          <w:b/>
          <w:u w:val="single"/>
        </w:rPr>
        <w:t>Overview</w:t>
      </w:r>
    </w:p>
    <w:p>
      <w:pPr>
        <w:spacing w:after="0" w:line="240" w:lineRule="auto"/>
        <w:jc w:val="both"/>
        <w:rPr>
          <w:rFonts w:eastAsia="Times New Roman" w:cstheme="minorHAnsi"/>
          <w:lang w:val="en-US" w:eastAsia="en-GB"/>
        </w:rPr>
      </w:pPr>
    </w:p>
    <w:p>
      <w:pPr>
        <w:jc w:val="both"/>
        <w:rPr>
          <w:rFonts w:eastAsia="Times New Roman" w:cstheme="minorHAnsi"/>
        </w:rPr>
      </w:pPr>
      <w:r>
        <w:rPr>
          <w:rFonts w:cstheme="minorHAnsi"/>
        </w:rPr>
        <w:t>To provide an independent and confidential counselling service to students responding to their personal, social, emotional or educations concerns.</w:t>
      </w:r>
    </w:p>
    <w:p>
      <w:pPr>
        <w:spacing w:after="0" w:line="240" w:lineRule="auto"/>
        <w:rPr>
          <w:rFonts w:eastAsia="Times New Roman" w:cstheme="minorHAnsi"/>
          <w:b/>
          <w:u w:val="single"/>
        </w:rPr>
      </w:pPr>
      <w:r>
        <w:rPr>
          <w:rFonts w:eastAsia="Times New Roman" w:cstheme="minorHAnsi"/>
          <w:b/>
          <w:u w:val="single"/>
        </w:rPr>
        <w:t>Main Role and Responsibilities</w:t>
      </w:r>
    </w:p>
    <w:p>
      <w:pPr>
        <w:spacing w:after="0" w:line="240" w:lineRule="auto"/>
        <w:rPr>
          <w:rFonts w:cstheme="minorHAnsi"/>
          <w:u w:val="single"/>
        </w:rPr>
      </w:pPr>
    </w:p>
    <w:p>
      <w:pPr>
        <w:pStyle w:val="ListParagraph"/>
        <w:numPr>
          <w:ilvl w:val="0"/>
          <w:numId w:val="4"/>
        </w:numPr>
        <w:spacing w:after="0" w:line="240" w:lineRule="auto"/>
        <w:jc w:val="both"/>
        <w:rPr>
          <w:rFonts w:cstheme="minorHAnsi"/>
          <w:sz w:val="22"/>
          <w:szCs w:val="22"/>
        </w:rPr>
      </w:pPr>
      <w:r>
        <w:rPr>
          <w:rFonts w:cstheme="minorHAnsi"/>
          <w:sz w:val="22"/>
          <w:szCs w:val="22"/>
        </w:rPr>
        <w:t xml:space="preserve">To provide one to one counselling sessions to students. </w:t>
      </w:r>
    </w:p>
    <w:p>
      <w:pPr>
        <w:pStyle w:val="ListParagraph"/>
        <w:numPr>
          <w:ilvl w:val="0"/>
          <w:numId w:val="4"/>
        </w:numPr>
        <w:spacing w:after="0" w:line="240" w:lineRule="auto"/>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To maintain confidentiality in accordance with BACP practice guidelines – other than in circumstances where it may be appropriate to disclose information.</w:t>
      </w:r>
    </w:p>
    <w:p>
      <w:pPr>
        <w:numPr>
          <w:ilvl w:val="0"/>
          <w:numId w:val="4"/>
        </w:numPr>
        <w:spacing w:after="0" w:line="240" w:lineRule="auto"/>
        <w:jc w:val="both"/>
        <w:rPr>
          <w:rFonts w:cstheme="minorHAnsi"/>
        </w:rPr>
      </w:pPr>
      <w:r>
        <w:rPr>
          <w:rFonts w:cstheme="minorHAnsi"/>
        </w:rPr>
        <w:t xml:space="preserve">To utilise and engage with the existing referral and case management system to ensure all students can access appropriate counselling support within a timely manner. </w:t>
      </w:r>
    </w:p>
    <w:p>
      <w:pPr>
        <w:numPr>
          <w:ilvl w:val="0"/>
          <w:numId w:val="4"/>
        </w:numPr>
        <w:spacing w:after="0" w:line="240" w:lineRule="auto"/>
        <w:jc w:val="both"/>
        <w:rPr>
          <w:rFonts w:cstheme="minorHAnsi"/>
        </w:rPr>
      </w:pPr>
      <w:r>
        <w:rPr>
          <w:rFonts w:cstheme="minorHAnsi"/>
        </w:rPr>
        <w:t>To liaise where appropriate, and with the student’s consent, with other members of school staff regarding issues which may be impacting on their wellbeing or education.</w:t>
      </w:r>
    </w:p>
    <w:p>
      <w:pPr>
        <w:numPr>
          <w:ilvl w:val="0"/>
          <w:numId w:val="4"/>
        </w:numPr>
        <w:spacing w:after="0" w:line="240" w:lineRule="auto"/>
        <w:jc w:val="both"/>
        <w:rPr>
          <w:rFonts w:cstheme="minorHAnsi"/>
        </w:rPr>
      </w:pPr>
      <w:r>
        <w:rPr>
          <w:rFonts w:cstheme="minorHAnsi"/>
        </w:rPr>
        <w:t xml:space="preserve">To liaise with and make referrals where appropriate, and with the student’s consent, to other agencies (such a CAMHS). </w:t>
      </w:r>
    </w:p>
    <w:p>
      <w:pPr>
        <w:numPr>
          <w:ilvl w:val="0"/>
          <w:numId w:val="4"/>
        </w:numPr>
        <w:spacing w:after="0" w:line="240" w:lineRule="auto"/>
        <w:jc w:val="both"/>
        <w:rPr>
          <w:rFonts w:cstheme="minorHAnsi"/>
        </w:rPr>
      </w:pPr>
      <w:r>
        <w:rPr>
          <w:rFonts w:cstheme="minorHAnsi"/>
        </w:rPr>
        <w:t>To liaise with the designated safeguarding lead as required with respect to risk and safeguarding issues.</w:t>
      </w:r>
    </w:p>
    <w:p>
      <w:pPr>
        <w:numPr>
          <w:ilvl w:val="0"/>
          <w:numId w:val="4"/>
        </w:numPr>
        <w:spacing w:after="0" w:line="240" w:lineRule="auto"/>
        <w:jc w:val="both"/>
        <w:rPr>
          <w:rFonts w:cstheme="minorHAnsi"/>
        </w:rPr>
      </w:pPr>
      <w:r>
        <w:rPr>
          <w:rFonts w:cstheme="minorHAnsi"/>
        </w:rPr>
        <w:t>To evaluate the effectiveness of counselling provision, making recommendations for service developments and providing feedback to SLT / Governors.</w:t>
      </w:r>
    </w:p>
    <w:p>
      <w:pPr>
        <w:numPr>
          <w:ilvl w:val="0"/>
          <w:numId w:val="4"/>
        </w:numPr>
        <w:spacing w:after="0" w:line="240" w:lineRule="auto"/>
        <w:jc w:val="both"/>
        <w:rPr>
          <w:rFonts w:cstheme="minorHAnsi"/>
        </w:rPr>
      </w:pPr>
      <w:r>
        <w:rPr>
          <w:rFonts w:cstheme="minorHAnsi"/>
        </w:rPr>
        <w:t>To provide basic guidance and support to school staff to assist them in supporting students experiencing emotional distress.</w:t>
      </w:r>
    </w:p>
    <w:p>
      <w:pPr>
        <w:numPr>
          <w:ilvl w:val="0"/>
          <w:numId w:val="4"/>
        </w:numPr>
        <w:spacing w:after="0" w:line="240" w:lineRule="auto"/>
        <w:jc w:val="both"/>
        <w:rPr>
          <w:rFonts w:cstheme="minorHAnsi"/>
        </w:rPr>
      </w:pPr>
      <w:r>
        <w:rPr>
          <w:rFonts w:cstheme="minorHAnsi"/>
        </w:rPr>
        <w:t>To foster a culture of student wellbeing throughout the school by actively promoting counselling and wellbeing initiatives.</w:t>
      </w:r>
    </w:p>
    <w:p>
      <w:pPr>
        <w:numPr>
          <w:ilvl w:val="0"/>
          <w:numId w:val="4"/>
        </w:numPr>
        <w:spacing w:after="0" w:line="240" w:lineRule="auto"/>
        <w:jc w:val="both"/>
        <w:rPr>
          <w:rFonts w:cstheme="minorHAnsi"/>
        </w:rPr>
      </w:pPr>
      <w:r>
        <w:rPr>
          <w:rFonts w:cstheme="minorHAnsi"/>
        </w:rPr>
        <w:t>To maintain comprehensive confidential case records and keep these secure.</w:t>
      </w:r>
    </w:p>
    <w:p>
      <w:pPr>
        <w:numPr>
          <w:ilvl w:val="0"/>
          <w:numId w:val="4"/>
        </w:numPr>
        <w:spacing w:after="0" w:line="240" w:lineRule="auto"/>
        <w:jc w:val="both"/>
        <w:rPr>
          <w:rFonts w:cstheme="minorHAnsi"/>
        </w:rPr>
      </w:pPr>
      <w:r>
        <w:rPr>
          <w:rFonts w:cstheme="minorHAnsi"/>
        </w:rPr>
        <w:t>To work at all times within the ethics and guidelines of the BACP (British Association for Counselling and Psychotherapy).</w:t>
      </w:r>
    </w:p>
    <w:p>
      <w:pPr>
        <w:spacing w:after="0" w:line="240" w:lineRule="auto"/>
        <w:jc w:val="both"/>
        <w:rPr>
          <w:rFonts w:cstheme="minorHAnsi"/>
        </w:rPr>
      </w:pPr>
    </w:p>
    <w:p>
      <w:pPr>
        <w:spacing w:after="0" w:line="240" w:lineRule="auto"/>
        <w:jc w:val="both"/>
        <w:rPr>
          <w:rFonts w:cstheme="minorHAnsi"/>
        </w:rPr>
      </w:pPr>
    </w:p>
    <w:p>
      <w:pPr>
        <w:spacing w:after="0" w:line="240" w:lineRule="auto"/>
        <w:jc w:val="both"/>
        <w:rPr>
          <w:rFonts w:cstheme="minorHAnsi"/>
        </w:rPr>
      </w:pPr>
    </w:p>
    <w:p>
      <w:pPr>
        <w:pStyle w:val="ListParagraph"/>
        <w:jc w:val="both"/>
        <w:rPr>
          <w:rFonts w:asciiTheme="minorHAnsi" w:hAnsiTheme="minorHAnsi" w:cstheme="minorHAnsi"/>
          <w:color w:val="auto"/>
          <w:sz w:val="22"/>
          <w:szCs w:val="22"/>
        </w:rPr>
      </w:pPr>
      <w:r>
        <w:rPr>
          <w:rFonts w:asciiTheme="minorHAnsi" w:hAnsiTheme="minorHAnsi" w:cstheme="minorHAnsi"/>
          <w:color w:val="auto"/>
          <w:sz w:val="22"/>
          <w:szCs w:val="22"/>
        </w:rPr>
        <w:t>In addition, all members of the school community are expected to:</w:t>
      </w:r>
    </w:p>
    <w:p>
      <w:pPr>
        <w:numPr>
          <w:ilvl w:val="0"/>
          <w:numId w:val="2"/>
        </w:numPr>
        <w:spacing w:after="0" w:line="240" w:lineRule="auto"/>
        <w:ind w:right="16"/>
        <w:jc w:val="both"/>
        <w:rPr>
          <w:rFonts w:cstheme="minorHAnsi"/>
        </w:rPr>
      </w:pPr>
      <w:r>
        <w:rPr>
          <w:rFonts w:cstheme="minorHAnsi"/>
        </w:rPr>
        <w:t>Display a commitment to child protection and safeguarding. Report to the headteacher any behaviour by colleagues, parents or children which raises concern.</w:t>
      </w:r>
    </w:p>
    <w:p>
      <w:pPr>
        <w:numPr>
          <w:ilvl w:val="0"/>
          <w:numId w:val="2"/>
        </w:numPr>
        <w:spacing w:after="0" w:line="240" w:lineRule="auto"/>
        <w:jc w:val="both"/>
        <w:rPr>
          <w:rFonts w:cstheme="minorHAnsi"/>
        </w:rPr>
      </w:pPr>
      <w:r>
        <w:rPr>
          <w:rFonts w:cstheme="minorHAnsi"/>
        </w:rPr>
        <w:t>Comply with policies and procedures relating to child protection, health, safety and security, confidentiality and data protection, reporting all concerns to an appropriate person.</w:t>
      </w:r>
    </w:p>
    <w:tbl>
      <w:tblPr>
        <w:tblW w:w="9606" w:type="dxa"/>
        <w:tblLayout w:type="fixed"/>
        <w:tblLook w:val="0000" w:firstRow="0" w:lastRow="0" w:firstColumn="0" w:lastColumn="0" w:noHBand="0" w:noVBand="0"/>
      </w:tblPr>
      <w:tblGrid>
        <w:gridCol w:w="9606"/>
      </w:tblGrid>
      <w:tr>
        <w:tc>
          <w:tcPr>
            <w:tcW w:w="9606" w:type="dxa"/>
          </w:tcPr>
          <w:p>
            <w:pPr>
              <w:jc w:val="both"/>
              <w:rPr>
                <w:rFonts w:cstheme="minorHAnsi"/>
              </w:rPr>
            </w:pPr>
          </w:p>
          <w:p>
            <w:pPr>
              <w:jc w:val="both"/>
              <w:rPr>
                <w:rFonts w:cstheme="minorHAnsi"/>
              </w:rPr>
            </w:pPr>
            <w:r>
              <w:rPr>
                <w:rFonts w:cstheme="minorHAnsi"/>
                <w:i/>
              </w:rPr>
              <w:t>It is expected that the postholder will attend professional supervision meetings with an appropriately qualified practitioner to support professional practice (this is to be undertaken outside of the postholder’s paid and contracted hours</w:t>
            </w:r>
            <w:r>
              <w:rPr>
                <w:rFonts w:cstheme="minorHAnsi"/>
              </w:rPr>
              <w:t>)</w:t>
            </w:r>
          </w:p>
          <w:p>
            <w:pPr>
              <w:spacing w:after="0" w:line="240" w:lineRule="auto"/>
              <w:ind w:left="360"/>
              <w:jc w:val="both"/>
              <w:rPr>
                <w:rFonts w:cstheme="minorHAnsi"/>
              </w:rPr>
            </w:pPr>
          </w:p>
        </w:tc>
      </w:tr>
    </w:tbl>
    <w:p>
      <w:pPr>
        <w:spacing w:after="0" w:line="240" w:lineRule="auto"/>
        <w:ind w:left="360"/>
        <w:rPr>
          <w:rFonts w:ascii="Calibri" w:eastAsia="Times New Roman" w:hAnsi="Calibri" w:cs="Calibri"/>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4E13E62"/>
    <w:multiLevelType w:val="hybridMultilevel"/>
    <w:tmpl w:val="EB025F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C4C3B"/>
    <w:multiLevelType w:val="hybridMultilevel"/>
    <w:tmpl w:val="95926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A5E72"/>
    <w:multiLevelType w:val="hybridMultilevel"/>
    <w:tmpl w:val="FD040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B7316-563D-458D-BB88-E4E8AC86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customStyle="1" w:styleId="ListParagraphChar">
    <w:name w:val="List Paragraph Char"/>
    <w:link w:val="ListParagraph"/>
    <w:uiPriority w:val="34"/>
    <w:locked/>
    <w:rPr>
      <w:rFonts w:ascii="Calibri" w:eastAsia="Times New Roman" w:hAnsi="Calibri" w:cs="Calibri"/>
      <w:color w:val="000000"/>
      <w:kern w:val="28"/>
      <w:sz w:val="20"/>
      <w:szCs w:val="20"/>
      <w:lang w:eastAsia="en-GB"/>
      <w14:ligatures w14:val="standard"/>
      <w14:cntxtAlts/>
    </w:rPr>
  </w:style>
  <w:style w:type="paragraph" w:customStyle="1" w:styleId="5HRSelectSubHeaderPolicyGuidanceDocs">
    <w:name w:val="5.HRSelect Sub Header Policy/Guidance Docs"/>
    <w:basedOn w:val="Normal"/>
    <w:qFormat/>
    <w:pPr>
      <w:spacing w:after="120" w:line="285" w:lineRule="auto"/>
    </w:pPr>
    <w:rPr>
      <w:rFonts w:ascii="Trebuchet MS" w:eastAsia="Times New Roman" w:hAnsi="Trebuchet MS" w:cs="Calibri"/>
      <w:b/>
      <w:color w:val="67BD91"/>
      <w:kern w:val="28"/>
      <w:sz w:val="26"/>
      <w:szCs w:val="32"/>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Kennett R</dc:creator>
  <cp:keywords/>
  <dc:description/>
  <cp:lastModifiedBy>Kennett R</cp:lastModifiedBy>
  <cp:revision>5</cp:revision>
  <cp:lastPrinted>2025-09-03T12:42:00Z</cp:lastPrinted>
  <dcterms:created xsi:type="dcterms:W3CDTF">2026-06-16T12:46:00Z</dcterms:created>
  <dcterms:modified xsi:type="dcterms:W3CDTF">2026-06-16T13:46:00Z</dcterms:modified>
</cp:coreProperties>
</file>