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6C" w:rsidRDefault="009E136C">
      <w:pPr>
        <w:spacing w:after="360"/>
        <w:rPr>
          <w:b/>
          <w:color w:val="1F4E79"/>
          <w:sz w:val="48"/>
        </w:rPr>
      </w:pPr>
      <w:r w:rsidRPr="009E136C">
        <w:rPr>
          <w:b/>
          <w:color w:val="1F4E79"/>
          <w:sz w:val="48"/>
        </w:rPr>
        <w:t>SEN Learning Support &amp; Inclusion Practitioner</w:t>
      </w:r>
      <w:bookmarkStart w:id="0" w:name="_GoBack"/>
      <w:bookmarkEnd w:id="0"/>
    </w:p>
    <w:p w:rsidR="00737459" w:rsidRDefault="007035D7">
      <w:pPr>
        <w:spacing w:after="360"/>
      </w:pPr>
      <w:r>
        <w:rPr>
          <w:color w:val="7F7F7F"/>
          <w:sz w:val="28"/>
        </w:rPr>
        <w:t>Job Description &amp; Person Specification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2"/>
        <w:gridCol w:w="6768"/>
      </w:tblGrid>
      <w:tr w:rsidR="00737459">
        <w:trPr>
          <w:trHeight w:val="360"/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7459" w:rsidRDefault="009E136C">
            <w:pPr>
              <w:spacing w:after="0"/>
            </w:pPr>
            <w:r>
              <w:rPr>
                <w:b/>
                <w:color w:val="1F4E79"/>
                <w:sz w:val="20"/>
              </w:rPr>
              <w:t>Salary</w:t>
            </w:r>
            <w:r w:rsidR="007035D7">
              <w:rPr>
                <w:b/>
                <w:color w:val="1F4E79"/>
                <w:sz w:val="20"/>
              </w:rPr>
              <w:t>:</w:t>
            </w:r>
          </w:p>
        </w:tc>
        <w:tc>
          <w:tcPr>
            <w:tcW w:w="67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7459" w:rsidRDefault="009E136C">
            <w:pPr>
              <w:spacing w:after="0"/>
            </w:pPr>
            <w:r w:rsidRPr="009E136C">
              <w:t>£23,694.02 (£29,492.00 FTE)</w:t>
            </w:r>
          </w:p>
          <w:p w:rsidR="009E136C" w:rsidRDefault="009E136C">
            <w:pPr>
              <w:spacing w:after="0"/>
            </w:pPr>
            <w:r>
              <w:t>35 hours a week, term time only</w:t>
            </w:r>
          </w:p>
        </w:tc>
      </w:tr>
      <w:tr w:rsidR="00737459">
        <w:trPr>
          <w:trHeight w:val="360"/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7459" w:rsidRDefault="007035D7">
            <w:pPr>
              <w:spacing w:after="0"/>
            </w:pPr>
            <w:r>
              <w:rPr>
                <w:b/>
                <w:color w:val="1F4E79"/>
                <w:sz w:val="20"/>
              </w:rPr>
              <w:t>Responsible To:</w:t>
            </w:r>
          </w:p>
        </w:tc>
        <w:tc>
          <w:tcPr>
            <w:tcW w:w="67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7459" w:rsidRDefault="007035D7">
            <w:pPr>
              <w:spacing w:after="0"/>
            </w:pPr>
            <w:r>
              <w:rPr>
                <w:sz w:val="20"/>
              </w:rPr>
              <w:t>SENCO</w:t>
            </w:r>
          </w:p>
        </w:tc>
      </w:tr>
    </w:tbl>
    <w:p w:rsidR="00737459" w:rsidRDefault="00737459">
      <w:pPr>
        <w:spacing w:after="240"/>
      </w:pPr>
    </w:p>
    <w:p w:rsidR="00737459" w:rsidRDefault="007035D7">
      <w:pPr>
        <w:keepNext/>
        <w:spacing w:before="320"/>
      </w:pPr>
      <w:r>
        <w:rPr>
          <w:b/>
          <w:color w:val="1F4E79"/>
          <w:sz w:val="28"/>
        </w:rPr>
        <w:t>Purpose of the Job</w:t>
      </w:r>
    </w:p>
    <w:p w:rsidR="00737459" w:rsidRDefault="007035D7">
      <w:r>
        <w:t>To work flexibly alongside the SEN team to support the teaching, learning</w:t>
      </w:r>
      <w:r w:rsidR="00837A58">
        <w:t xml:space="preserve"> </w:t>
      </w:r>
      <w:r>
        <w:t>and development of pupils with special educational needs. Under the guidance and supervision of the SENCO, the</w:t>
      </w:r>
      <w:r w:rsidR="00FE1297">
        <w:t>y</w:t>
      </w:r>
      <w:r>
        <w:t xml:space="preserve"> will deliver targeted interventions based on Education, Health and Care Plans (EHCPs) and Personalised Plans, administer screening tools</w:t>
      </w:r>
      <w:r w:rsidR="00FE1297">
        <w:t>,</w:t>
      </w:r>
      <w:r>
        <w:t xml:space="preserve"> manage specialist resources to ensure inclusive learning access across the school</w:t>
      </w:r>
      <w:r w:rsidR="00FE1297">
        <w:t xml:space="preserve"> and make referrals to outside agencies.</w:t>
      </w:r>
    </w:p>
    <w:p w:rsidR="00737459" w:rsidRDefault="007035D7">
      <w:pPr>
        <w:keepNext/>
        <w:spacing w:before="320"/>
      </w:pPr>
      <w:r>
        <w:rPr>
          <w:b/>
          <w:color w:val="1F4E79"/>
          <w:sz w:val="28"/>
        </w:rPr>
        <w:t>Key Duties and Responsibilities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1. </w:t>
      </w:r>
      <w:r>
        <w:rPr>
          <w:b/>
        </w:rPr>
        <w:t xml:space="preserve">Targeted Interventions: </w:t>
      </w:r>
      <w:r>
        <w:t>Deliver tailored interventions to individuals or small groups across the four main areas of need defined by the SEND Code of Practice:</w:t>
      </w:r>
      <w:r>
        <w:br/>
        <w:t xml:space="preserve">  • Communication and Interaction (e.g., speech, language, communication </w:t>
      </w:r>
      <w:r w:rsidR="00837A58">
        <w:t>difficulties</w:t>
      </w:r>
      <w:r>
        <w:t>)</w:t>
      </w:r>
      <w:r>
        <w:br/>
        <w:t xml:space="preserve">  • Cognition and Learning (e.g., specific learning difficulties, core academic support)</w:t>
      </w:r>
      <w:r>
        <w:br/>
        <w:t xml:space="preserve">  • Social, Emotional and Mental Health (e.g., emotional regulation, wellbeing)</w:t>
      </w:r>
      <w:r>
        <w:br/>
        <w:t xml:space="preserve">  • Physical and Sensory Needs (e.g., developing fine/gross motor skills)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2. </w:t>
      </w:r>
      <w:r>
        <w:rPr>
          <w:b/>
        </w:rPr>
        <w:t xml:space="preserve">Screening &amp; Assessment: </w:t>
      </w:r>
      <w:r>
        <w:t xml:space="preserve">Administer online screening tools (such as IDL or similar) to help identify children with potential </w:t>
      </w:r>
      <w:r w:rsidR="00837A58">
        <w:t xml:space="preserve">dyslexic traits </w:t>
      </w:r>
      <w:r>
        <w:t>or specific learning traits, and systematically share findings with the SENCO</w:t>
      </w:r>
      <w:r w:rsidR="00FE1297">
        <w:t xml:space="preserve"> and/ or class teacher</w:t>
      </w:r>
      <w:r>
        <w:t xml:space="preserve"> (full training will be provided).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3. </w:t>
      </w:r>
      <w:r>
        <w:rPr>
          <w:b/>
        </w:rPr>
        <w:t>Specialist Resource</w:t>
      </w:r>
      <w:r w:rsidR="00837A58">
        <w:rPr>
          <w:b/>
        </w:rPr>
        <w:t>s</w:t>
      </w:r>
      <w:r>
        <w:rPr>
          <w:b/>
        </w:rPr>
        <w:t xml:space="preserve">: </w:t>
      </w:r>
      <w:r>
        <w:t xml:space="preserve">Manage and distribute specialist learning and sensory resources to teachers upon request (e.g., wobble cushions, writing slopes, adaptive pencil grips, weighted </w:t>
      </w:r>
      <w:r w:rsidR="00837A58">
        <w:t>blankets</w:t>
      </w:r>
      <w:r>
        <w:t>) to actively support inclusive classroom modifications.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4. </w:t>
      </w:r>
      <w:r>
        <w:rPr>
          <w:b/>
        </w:rPr>
        <w:t xml:space="preserve">EHCP &amp; Plan Implementation: </w:t>
      </w:r>
      <w:r>
        <w:t>Work flexibly across key stages to deliver the explicit provisions, learning outcomes</w:t>
      </w:r>
      <w:r w:rsidR="00837A58">
        <w:t xml:space="preserve"> </w:t>
      </w:r>
      <w:r>
        <w:t>and individual targets outlined within pupils' EHCPs and Personalised Plans.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5. </w:t>
      </w:r>
      <w:r>
        <w:rPr>
          <w:b/>
        </w:rPr>
        <w:t xml:space="preserve">Classroom Support &amp; Collaboration: </w:t>
      </w:r>
      <w:r>
        <w:t>Work productively within the classroom under the direct supervision of the class teacher and SENCO. Provide structured daily feedback to teachers and undertake accurate record-keeping regarding pupil progress.</w:t>
      </w:r>
    </w:p>
    <w:p w:rsidR="00737459" w:rsidRDefault="00837A58">
      <w:pPr>
        <w:spacing w:after="80"/>
        <w:ind w:left="360"/>
      </w:pPr>
      <w:r>
        <w:rPr>
          <w:b/>
          <w:color w:val="1F4E79"/>
        </w:rPr>
        <w:t>6</w:t>
      </w:r>
      <w:r w:rsidR="007035D7">
        <w:rPr>
          <w:b/>
          <w:color w:val="1F4E79"/>
        </w:rPr>
        <w:t xml:space="preserve">. </w:t>
      </w:r>
      <w:r w:rsidR="007035D7">
        <w:rPr>
          <w:b/>
        </w:rPr>
        <w:t xml:space="preserve">Behaviour Support: </w:t>
      </w:r>
      <w:r w:rsidR="007035D7">
        <w:t>Promote high standards of behaviour and engagement, responding to incidents in compliance with the school's behaviour policy</w:t>
      </w:r>
      <w:r>
        <w:t>.</w:t>
      </w:r>
    </w:p>
    <w:p w:rsidR="00737459" w:rsidRDefault="001D735B">
      <w:pPr>
        <w:spacing w:after="80"/>
        <w:ind w:left="360"/>
      </w:pPr>
      <w:r>
        <w:rPr>
          <w:b/>
          <w:color w:val="1F4E79"/>
        </w:rPr>
        <w:lastRenderedPageBreak/>
        <w:t>7</w:t>
      </w:r>
      <w:r w:rsidR="007035D7">
        <w:rPr>
          <w:b/>
          <w:color w:val="1F4E79"/>
        </w:rPr>
        <w:t xml:space="preserve">. </w:t>
      </w:r>
      <w:r w:rsidR="007035D7">
        <w:rPr>
          <w:b/>
        </w:rPr>
        <w:t xml:space="preserve">Multi-Agency Liaison: </w:t>
      </w:r>
      <w:r w:rsidR="007035D7">
        <w:t xml:space="preserve">Liaise with therapists and external health/education specialists (e.g., Speech and Language Therapists, </w:t>
      </w:r>
      <w:r w:rsidR="00837A58">
        <w:t xml:space="preserve">Educational Psychologist, </w:t>
      </w:r>
      <w:r w:rsidR="007035D7">
        <w:t>Occupational Therapists), as directed, to deliver precise therapeutic interventions set for individual children.</w:t>
      </w:r>
    </w:p>
    <w:p w:rsidR="00737459" w:rsidRDefault="001D735B">
      <w:pPr>
        <w:spacing w:after="80"/>
        <w:ind w:left="360"/>
      </w:pPr>
      <w:r>
        <w:rPr>
          <w:b/>
          <w:color w:val="1F4E79"/>
        </w:rPr>
        <w:t>8</w:t>
      </w:r>
      <w:r w:rsidR="007035D7">
        <w:rPr>
          <w:b/>
          <w:color w:val="1F4E79"/>
        </w:rPr>
        <w:t xml:space="preserve">. </w:t>
      </w:r>
      <w:r w:rsidR="007035D7">
        <w:rPr>
          <w:b/>
        </w:rPr>
        <w:t xml:space="preserve">Safeguarding &amp; Compliance: </w:t>
      </w:r>
      <w:r w:rsidR="007035D7">
        <w:t>Comply with all statutory policies and operational procedures relating to child protection, health, safety, facility security, confidentiality, and data protection, promptly reporting all concerns to a Designated Safeguarding Lead (DSL).</w:t>
      </w:r>
    </w:p>
    <w:p w:rsidR="00737459" w:rsidRDefault="001D735B">
      <w:pPr>
        <w:spacing w:after="80"/>
        <w:ind w:left="360"/>
      </w:pPr>
      <w:r>
        <w:rPr>
          <w:b/>
          <w:color w:val="1F4E79"/>
        </w:rPr>
        <w:t>9</w:t>
      </w:r>
      <w:r w:rsidR="007035D7">
        <w:rPr>
          <w:b/>
          <w:color w:val="1F4E79"/>
        </w:rPr>
        <w:t xml:space="preserve">. </w:t>
      </w:r>
      <w:r w:rsidR="007035D7">
        <w:rPr>
          <w:b/>
        </w:rPr>
        <w:t xml:space="preserve">Professional Development: </w:t>
      </w:r>
      <w:r w:rsidR="007035D7">
        <w:t>Reflect intentionally on own practice and proactively identify professional development to continuously improve personal effectiveness.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>1</w:t>
      </w:r>
      <w:r w:rsidR="001D735B">
        <w:rPr>
          <w:b/>
          <w:color w:val="1F4E79"/>
        </w:rPr>
        <w:t>0</w:t>
      </w:r>
      <w:r>
        <w:rPr>
          <w:b/>
          <w:color w:val="1F4E79"/>
        </w:rPr>
        <w:t xml:space="preserve">. </w:t>
      </w:r>
      <w:r>
        <w:rPr>
          <w:b/>
        </w:rPr>
        <w:t>Lunchtime</w:t>
      </w:r>
      <w:r w:rsidR="00FE1297">
        <w:rPr>
          <w:b/>
        </w:rPr>
        <w:t xml:space="preserve"> Play Supervisor</w:t>
      </w:r>
      <w:r>
        <w:rPr>
          <w:b/>
        </w:rPr>
        <w:t xml:space="preserve">: </w:t>
      </w:r>
      <w:r w:rsidR="00FE1297" w:rsidRPr="00FE1297">
        <w:t>Co-ordinate lunchtimes using OPAL</w:t>
      </w:r>
      <w:r w:rsidR="00FE1297">
        <w:rPr>
          <w:b/>
        </w:rPr>
        <w:t xml:space="preserve"> </w:t>
      </w:r>
      <w:r w:rsidR="00FE1297">
        <w:t>(Outdoor Play and Learning) provision</w:t>
      </w:r>
      <w:r w:rsidR="00FE1297">
        <w:rPr>
          <w:b/>
        </w:rPr>
        <w:t xml:space="preserve">, </w:t>
      </w:r>
      <w:r>
        <w:t>facilitating structured playground games</w:t>
      </w:r>
      <w:r w:rsidR="00FE1297">
        <w:t>,</w:t>
      </w:r>
      <w:r>
        <w:t xml:space="preserve"> inclusive sensory activities a</w:t>
      </w:r>
      <w:r w:rsidR="00FE1297">
        <w:t>nd coordinating staff effectively with the support of the SENDCO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>1</w:t>
      </w:r>
      <w:r w:rsidR="001D735B">
        <w:rPr>
          <w:b/>
          <w:color w:val="1F4E79"/>
        </w:rPr>
        <w:t>1</w:t>
      </w:r>
      <w:r>
        <w:rPr>
          <w:b/>
          <w:color w:val="1F4E79"/>
        </w:rPr>
        <w:t xml:space="preserve">. </w:t>
      </w:r>
      <w:r>
        <w:rPr>
          <w:b/>
        </w:rPr>
        <w:t xml:space="preserve">Off-site Support: </w:t>
      </w:r>
      <w:r>
        <w:t>Assist with escorting and managing pupils during off-site educational visits, field trips, and out-of-school community activities.</w:t>
      </w:r>
    </w:p>
    <w:p w:rsidR="00FE1297" w:rsidRDefault="00FE1297">
      <w:pPr>
        <w:spacing w:after="80"/>
        <w:ind w:left="360"/>
      </w:pPr>
      <w:r>
        <w:rPr>
          <w:b/>
          <w:color w:val="1F4E79"/>
        </w:rPr>
        <w:t>12.</w:t>
      </w:r>
      <w:r>
        <w:t xml:space="preserve"> </w:t>
      </w:r>
      <w:r w:rsidRPr="00FE1297">
        <w:t>Carry out any other duties as directed by the Head of School</w:t>
      </w:r>
    </w:p>
    <w:p w:rsidR="00737459" w:rsidRDefault="007035D7">
      <w:pPr>
        <w:keepNext/>
        <w:spacing w:before="320"/>
      </w:pPr>
      <w:r>
        <w:rPr>
          <w:b/>
          <w:color w:val="1F4E79"/>
          <w:sz w:val="28"/>
        </w:rPr>
        <w:t>Safeguarding Responsibilities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1. </w:t>
      </w:r>
      <w:r>
        <w:t>To thoroughly understand the statutory role and specific responsibilities of all staff in safeguarding children in the School and in maintaining a safe, secure environment in which children can learn safely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2. </w:t>
      </w:r>
      <w:r>
        <w:t>To fully understand and routinely meet all personal and professional responsibilities as detailed in the latest statutory edition of Keeping Children Safe in Education (KCSIE)</w:t>
      </w:r>
    </w:p>
    <w:p w:rsidR="00737459" w:rsidRDefault="007035D7">
      <w:pPr>
        <w:spacing w:after="80"/>
        <w:ind w:left="360"/>
      </w:pPr>
      <w:r>
        <w:rPr>
          <w:b/>
          <w:color w:val="1F4E79"/>
        </w:rPr>
        <w:t xml:space="preserve">3. </w:t>
      </w:r>
      <w:r>
        <w:t>To actively engage in, complete, and renew all mandatory safeguarding and child protection training, ensuring school policies and best practices are rigorously observed at all times</w:t>
      </w:r>
    </w:p>
    <w:p w:rsidR="00737459" w:rsidRDefault="007035D7">
      <w:r>
        <w:br w:type="page"/>
      </w:r>
    </w:p>
    <w:p w:rsidR="00737459" w:rsidRDefault="007035D7">
      <w:pPr>
        <w:spacing w:before="240" w:after="80"/>
      </w:pPr>
      <w:r>
        <w:rPr>
          <w:b/>
          <w:color w:val="1F4E79"/>
          <w:sz w:val="40"/>
        </w:rPr>
        <w:lastRenderedPageBreak/>
        <w:t>Person Specification</w:t>
      </w:r>
    </w:p>
    <w:p w:rsidR="00737459" w:rsidRDefault="007035D7">
      <w:pPr>
        <w:spacing w:after="280"/>
      </w:pPr>
      <w:r>
        <w:t xml:space="preserve">Applicants must clearly describe within their application form how their skills, qualifications, and experience meet the following criteria.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2"/>
        <w:gridCol w:w="3384"/>
        <w:gridCol w:w="3384"/>
      </w:tblGrid>
      <w:tr w:rsidR="00737459">
        <w:trPr>
          <w:trHeight w:val="400"/>
          <w:jc w:val="center"/>
        </w:trPr>
        <w:tc>
          <w:tcPr>
            <w:tcW w:w="259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737459" w:rsidRDefault="007035D7">
            <w:pPr>
              <w:spacing w:after="0"/>
            </w:pPr>
            <w:r>
              <w:rPr>
                <w:b/>
                <w:color w:val="FFFFFF"/>
              </w:rPr>
              <w:t>Criteria Category</w:t>
            </w:r>
          </w:p>
        </w:tc>
        <w:tc>
          <w:tcPr>
            <w:tcW w:w="338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737459" w:rsidRDefault="007035D7">
            <w:pPr>
              <w:spacing w:after="0"/>
            </w:pPr>
            <w:r>
              <w:rPr>
                <w:b/>
                <w:color w:val="FFFFFF"/>
              </w:rPr>
              <w:t>Essential Criteria</w:t>
            </w:r>
          </w:p>
        </w:tc>
        <w:tc>
          <w:tcPr>
            <w:tcW w:w="338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737459" w:rsidRDefault="007035D7">
            <w:pPr>
              <w:spacing w:after="0"/>
            </w:pPr>
            <w:r>
              <w:rPr>
                <w:b/>
                <w:color w:val="FFFFFF"/>
              </w:rPr>
              <w:t>Desirable Criteria</w:t>
            </w:r>
          </w:p>
        </w:tc>
      </w:tr>
      <w:tr w:rsidR="00737459">
        <w:trPr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6F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before="40" w:after="0"/>
            </w:pPr>
            <w:r>
              <w:rPr>
                <w:b/>
                <w:color w:val="1F4E79"/>
                <w:sz w:val="20"/>
              </w:rPr>
              <w:t>Qualifications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 w:rsidP="001D735B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 xml:space="preserve">Good standard of </w:t>
            </w:r>
            <w:r w:rsidR="00E033C9">
              <w:rPr>
                <w:sz w:val="19"/>
              </w:rPr>
              <w:t>primary</w:t>
            </w:r>
            <w:r>
              <w:rPr>
                <w:sz w:val="19"/>
              </w:rPr>
              <w:t xml:space="preserve"> education including English and Maths GCSE grade C/4 or equivalent.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36C" w:rsidRPr="009E136C" w:rsidRDefault="001D735B" w:rsidP="009E136C">
            <w:pPr>
              <w:spacing w:after="80"/>
              <w:ind w:left="216"/>
              <w:rPr>
                <w:sz w:val="19"/>
              </w:rPr>
            </w:pPr>
            <w:r w:rsidRPr="009E136C">
              <w:rPr>
                <w:sz w:val="19"/>
              </w:rPr>
              <w:t>•  Relevant qualification in education</w:t>
            </w:r>
          </w:p>
          <w:p w:rsidR="009E136C" w:rsidRPr="009E136C" w:rsidRDefault="009E136C" w:rsidP="009E136C">
            <w:pPr>
              <w:spacing w:after="80"/>
              <w:ind w:left="216"/>
              <w:rPr>
                <w:sz w:val="19"/>
              </w:rPr>
            </w:pPr>
            <w:r w:rsidRPr="009E136C">
              <w:rPr>
                <w:sz w:val="19"/>
              </w:rPr>
              <w:t>•</w:t>
            </w:r>
            <w:r w:rsidRPr="009E136C">
              <w:rPr>
                <w:sz w:val="19"/>
              </w:rPr>
              <w:t xml:space="preserve"> Higher Level Teaching Assistant (HLTA) Qualification</w:t>
            </w:r>
          </w:p>
          <w:p w:rsidR="009E136C" w:rsidRPr="009E136C" w:rsidRDefault="009E136C" w:rsidP="009E136C">
            <w:pPr>
              <w:spacing w:after="0"/>
              <w:rPr>
                <w:sz w:val="19"/>
              </w:rPr>
            </w:pPr>
          </w:p>
        </w:tc>
      </w:tr>
      <w:tr w:rsidR="00737459">
        <w:trPr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6F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before="40" w:after="0"/>
            </w:pPr>
            <w:r>
              <w:rPr>
                <w:b/>
                <w:color w:val="1F4E79"/>
                <w:sz w:val="20"/>
              </w:rPr>
              <w:t>Experience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Previous experience working directly with children with Special Educational Needs (SEN).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Practical experience working within a primary school setting.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 xml:space="preserve">Experience delivering structured </w:t>
            </w:r>
            <w:r w:rsidR="001D735B">
              <w:rPr>
                <w:sz w:val="19"/>
              </w:rPr>
              <w:t xml:space="preserve">interventions (i.e. </w:t>
            </w:r>
            <w:r>
              <w:rPr>
                <w:sz w:val="19"/>
              </w:rPr>
              <w:t>phonics programs</w:t>
            </w:r>
            <w:r w:rsidR="001D735B">
              <w:rPr>
                <w:sz w:val="19"/>
              </w:rPr>
              <w:t>)</w:t>
            </w:r>
            <w:r>
              <w:rPr>
                <w:sz w:val="19"/>
              </w:rPr>
              <w:t xml:space="preserve"> in small groups or on a 1:1 basis.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7F7F7F"/>
              </w:rPr>
              <w:t xml:space="preserve">•  </w:t>
            </w:r>
            <w:r>
              <w:rPr>
                <w:sz w:val="19"/>
              </w:rPr>
              <w:t>Experience delivering individual learning interventions linked directly to EHCP outcomes or Personalised Plans.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7F7F7F"/>
              </w:rPr>
              <w:t xml:space="preserve">•  </w:t>
            </w:r>
            <w:r>
              <w:rPr>
                <w:sz w:val="19"/>
              </w:rPr>
              <w:t>Knowledge or direct experience utili</w:t>
            </w:r>
            <w:r w:rsidR="001D735B">
              <w:rPr>
                <w:sz w:val="19"/>
              </w:rPr>
              <w:t>s</w:t>
            </w:r>
            <w:r>
              <w:rPr>
                <w:sz w:val="19"/>
              </w:rPr>
              <w:t>ing Colourful Semantics</w:t>
            </w:r>
            <w:r w:rsidR="001D735B">
              <w:rPr>
                <w:sz w:val="19"/>
              </w:rPr>
              <w:t>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7F7F7F"/>
              </w:rPr>
              <w:t xml:space="preserve">•  </w:t>
            </w:r>
            <w:r>
              <w:rPr>
                <w:sz w:val="19"/>
              </w:rPr>
              <w:t>Experience operating online learning tools</w:t>
            </w:r>
            <w:r w:rsidR="001D735B">
              <w:rPr>
                <w:sz w:val="19"/>
              </w:rPr>
              <w:t xml:space="preserve"> or </w:t>
            </w:r>
            <w:r>
              <w:rPr>
                <w:sz w:val="19"/>
              </w:rPr>
              <w:t>screeners</w:t>
            </w:r>
            <w:r w:rsidR="001D735B">
              <w:rPr>
                <w:sz w:val="19"/>
              </w:rPr>
              <w:t xml:space="preserve"> </w:t>
            </w:r>
            <w:r>
              <w:rPr>
                <w:sz w:val="19"/>
              </w:rPr>
              <w:t>(e.g., IDL).</w:t>
            </w:r>
          </w:p>
        </w:tc>
      </w:tr>
      <w:tr w:rsidR="00737459">
        <w:trPr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6F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before="40" w:after="0"/>
            </w:pPr>
            <w:r>
              <w:rPr>
                <w:b/>
                <w:color w:val="1F4E79"/>
                <w:sz w:val="20"/>
              </w:rPr>
              <w:t>Skills &amp; Abilities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Strong functional numeracy and literacy skills.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Basic IT proficiency and confidence navigating new software platforms.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Ability to relate well to children, demonstrating a deep understanding of diverse needs.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Ability to work flexibly and collaboratively within a broad multidisciplinary team.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7F7F7F"/>
              </w:rPr>
              <w:t xml:space="preserve">•  </w:t>
            </w:r>
            <w:r>
              <w:rPr>
                <w:sz w:val="19"/>
              </w:rPr>
              <w:t>Familiarity and skill in deploying adaptive/sensory tools (e.g., wobble cushions, writing slopes, pencil grips) to address motor and sensory needs.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7F7F7F"/>
              </w:rPr>
              <w:t xml:space="preserve">•  </w:t>
            </w:r>
            <w:r>
              <w:rPr>
                <w:sz w:val="19"/>
              </w:rPr>
              <w:t>Ability to accurately track, monitor, and document pupil progress against intervention targets.</w:t>
            </w:r>
          </w:p>
        </w:tc>
      </w:tr>
      <w:tr w:rsidR="00737459">
        <w:trPr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6F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before="40" w:after="0"/>
            </w:pPr>
            <w:r>
              <w:rPr>
                <w:b/>
                <w:color w:val="1F4E79"/>
                <w:sz w:val="20"/>
              </w:rPr>
              <w:t>Knowledge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Working knowledge of fundamental policies regarding safeguarding, child protection, health &amp; safety</w:t>
            </w:r>
            <w:r w:rsidR="001D735B">
              <w:rPr>
                <w:sz w:val="19"/>
              </w:rPr>
              <w:t xml:space="preserve"> </w:t>
            </w:r>
            <w:r>
              <w:rPr>
                <w:sz w:val="19"/>
              </w:rPr>
              <w:t>and confidentiality.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35B" w:rsidRDefault="001D735B" w:rsidP="001D735B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Basic understanding of the 4 primary areas of SEND need (Communication &amp; Interaction; Cognition &amp; Learning; SEMH; Physical &amp; Sensory).</w:t>
            </w:r>
          </w:p>
          <w:p w:rsidR="00737459" w:rsidRDefault="00737459">
            <w:pPr>
              <w:spacing w:after="80"/>
              <w:ind w:left="216"/>
            </w:pPr>
          </w:p>
        </w:tc>
      </w:tr>
      <w:tr w:rsidR="00737459">
        <w:trPr>
          <w:jc w:val="center"/>
        </w:trPr>
        <w:tc>
          <w:tcPr>
            <w:tcW w:w="25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6F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before="40" w:after="0"/>
            </w:pPr>
            <w:r>
              <w:rPr>
                <w:b/>
                <w:color w:val="1F4E79"/>
                <w:sz w:val="20"/>
              </w:rPr>
              <w:t>Behaviours &amp;</w:t>
            </w:r>
            <w:r>
              <w:rPr>
                <w:b/>
                <w:color w:val="1F4E79"/>
                <w:sz w:val="20"/>
              </w:rPr>
              <w:br/>
              <w:t>Attributes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 xml:space="preserve">Sincere enthusiasm for championing the personal wellbeing and academic </w:t>
            </w:r>
            <w:r>
              <w:rPr>
                <w:sz w:val="19"/>
              </w:rPr>
              <w:lastRenderedPageBreak/>
              <w:t>advancement of pupils with diverse needs.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Ability to act with Playfulness, Acceptance, Curiosity, and Empathy (PACE) when supporting children with SEMH needs.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High level of emotional intelligence and professional resilience</w:t>
            </w:r>
            <w:r w:rsidR="001D735B">
              <w:rPr>
                <w:sz w:val="19"/>
              </w:rPr>
              <w:t>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Proactive, highly flexible mindse</w:t>
            </w:r>
            <w:r w:rsidR="001D735B">
              <w:rPr>
                <w:sz w:val="19"/>
              </w:rPr>
              <w:t xml:space="preserve">t </w:t>
            </w:r>
            <w:r>
              <w:rPr>
                <w:sz w:val="19"/>
              </w:rPr>
              <w:t>and adaptable to shifting operational daily needs.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Absolute commitment to equity of opportunity, child safety and professional welfare.</w:t>
            </w:r>
          </w:p>
          <w:p w:rsidR="00737459" w:rsidRDefault="007035D7">
            <w:pPr>
              <w:spacing w:after="80"/>
              <w:ind w:left="216"/>
            </w:pPr>
            <w:r>
              <w:rPr>
                <w:color w:val="1F4E79"/>
              </w:rPr>
              <w:t xml:space="preserve">•  </w:t>
            </w:r>
            <w:r>
              <w:rPr>
                <w:sz w:val="19"/>
              </w:rPr>
              <w:t>Consistently punctual, conscientious</w:t>
            </w:r>
            <w:r w:rsidR="001D735B">
              <w:rPr>
                <w:sz w:val="19"/>
              </w:rPr>
              <w:t xml:space="preserve"> </w:t>
            </w:r>
            <w:r>
              <w:rPr>
                <w:sz w:val="19"/>
              </w:rPr>
              <w:t>and professional.</w:t>
            </w:r>
          </w:p>
        </w:tc>
        <w:tc>
          <w:tcPr>
            <w:tcW w:w="33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459" w:rsidRDefault="00737459">
            <w:pPr>
              <w:spacing w:after="0"/>
            </w:pPr>
          </w:p>
        </w:tc>
      </w:tr>
    </w:tbl>
    <w:p w:rsidR="003C64F7" w:rsidRDefault="003C64F7"/>
    <w:sectPr w:rsidR="003C64F7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0A5" w:rsidRDefault="006A60A5" w:rsidP="00807D16">
      <w:pPr>
        <w:spacing w:after="0" w:line="240" w:lineRule="auto"/>
      </w:pPr>
      <w:r>
        <w:separator/>
      </w:r>
    </w:p>
  </w:endnote>
  <w:endnote w:type="continuationSeparator" w:id="0">
    <w:p w:rsidR="006A60A5" w:rsidRDefault="006A60A5" w:rsidP="008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0A5" w:rsidRDefault="006A60A5" w:rsidP="00807D16">
      <w:pPr>
        <w:spacing w:after="0" w:line="240" w:lineRule="auto"/>
      </w:pPr>
      <w:r>
        <w:separator/>
      </w:r>
    </w:p>
  </w:footnote>
  <w:footnote w:type="continuationSeparator" w:id="0">
    <w:p w:rsidR="006A60A5" w:rsidRDefault="006A60A5" w:rsidP="008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16" w:rsidRDefault="00807D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5585005</wp:posOffset>
          </wp:positionH>
          <wp:positionV relativeFrom="paragraph">
            <wp:posOffset>-190093</wp:posOffset>
          </wp:positionV>
          <wp:extent cx="1013460" cy="8362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126DF"/>
    <w:multiLevelType w:val="hybridMultilevel"/>
    <w:tmpl w:val="0B50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9D4"/>
    <w:rsid w:val="001D735B"/>
    <w:rsid w:val="0029639D"/>
    <w:rsid w:val="00326F90"/>
    <w:rsid w:val="00362B18"/>
    <w:rsid w:val="003C64F7"/>
    <w:rsid w:val="003E05B5"/>
    <w:rsid w:val="00570C8E"/>
    <w:rsid w:val="006A60A5"/>
    <w:rsid w:val="007035D7"/>
    <w:rsid w:val="00737459"/>
    <w:rsid w:val="00807D16"/>
    <w:rsid w:val="00837A58"/>
    <w:rsid w:val="009E136C"/>
    <w:rsid w:val="00AA1D8D"/>
    <w:rsid w:val="00B47730"/>
    <w:rsid w:val="00BC3E28"/>
    <w:rsid w:val="00CB0664"/>
    <w:rsid w:val="00E033C9"/>
    <w:rsid w:val="00F853AB"/>
    <w:rsid w:val="00FC693F"/>
    <w:rsid w:val="00F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8AE71A"/>
  <w14:defaultImageDpi w14:val="300"/>
  <w15:docId w15:val="{3C21AB3B-961C-49E4-A2CA-E2D269E4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1BDFD-DD9E-47E7-B81E-534D065A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Cadwallader</cp:lastModifiedBy>
  <cp:revision>10</cp:revision>
  <dcterms:created xsi:type="dcterms:W3CDTF">2026-05-31T16:30:00Z</dcterms:created>
  <dcterms:modified xsi:type="dcterms:W3CDTF">2026-06-05T09:58:00Z</dcterms:modified>
  <cp:category/>
</cp:coreProperties>
</file>