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56DC" w14:textId="2E051852" w:rsidR="00092FD3" w:rsidRDefault="00211744" w:rsidP="00B2678B">
      <w:pPr>
        <w:spacing w:after="0" w:line="240" w:lineRule="auto"/>
        <w:jc w:val="center"/>
        <w:rPr>
          <w:rFonts w:eastAsia="Times New Roman" w:cstheme="minorHAnsi"/>
          <w:b/>
          <w:noProof/>
          <w:sz w:val="24"/>
          <w:u w:val="single"/>
          <w:lang w:eastAsia="en-GB"/>
        </w:rPr>
      </w:pPr>
      <w:r w:rsidRPr="00D20B0B">
        <w:rPr>
          <w:rFonts w:eastAsia="Times New Roman" w:cstheme="minorHAnsi"/>
          <w:b/>
          <w:noProof/>
          <w:sz w:val="24"/>
          <w:u w:val="single"/>
          <w:lang w:eastAsia="en-GB"/>
        </w:rPr>
        <w:drawing>
          <wp:anchor distT="0" distB="0" distL="114300" distR="114300" simplePos="0" relativeHeight="251658240" behindDoc="1" locked="0" layoutInCell="1" allowOverlap="1" wp14:anchorId="70ACFFB6" wp14:editId="71B2F01B">
            <wp:simplePos x="0" y="0"/>
            <wp:positionH relativeFrom="column">
              <wp:posOffset>5779135</wp:posOffset>
            </wp:positionH>
            <wp:positionV relativeFrom="paragraph">
              <wp:posOffset>0</wp:posOffset>
            </wp:positionV>
            <wp:extent cx="666750" cy="7080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acon.jpg"/>
                    <pic:cNvPicPr/>
                  </pic:nvPicPr>
                  <pic:blipFill>
                    <a:blip r:embed="rId12">
                      <a:extLst>
                        <a:ext uri="{28A0092B-C50C-407E-A947-70E740481C1C}">
                          <a14:useLocalDpi xmlns:a14="http://schemas.microsoft.com/office/drawing/2010/main" val="0"/>
                        </a:ext>
                      </a:extLst>
                    </a:blip>
                    <a:stretch>
                      <a:fillRect/>
                    </a:stretch>
                  </pic:blipFill>
                  <pic:spPr>
                    <a:xfrm>
                      <a:off x="0" y="0"/>
                      <a:ext cx="666750" cy="708025"/>
                    </a:xfrm>
                    <a:prstGeom prst="rect">
                      <a:avLst/>
                    </a:prstGeom>
                  </pic:spPr>
                </pic:pic>
              </a:graphicData>
            </a:graphic>
            <wp14:sizeRelH relativeFrom="margin">
              <wp14:pctWidth>0</wp14:pctWidth>
            </wp14:sizeRelH>
            <wp14:sizeRelV relativeFrom="margin">
              <wp14:pctHeight>0</wp14:pctHeight>
            </wp14:sizeRelV>
          </wp:anchor>
        </w:drawing>
      </w:r>
      <w:r w:rsidR="00F91CB5" w:rsidRPr="00D20B0B">
        <w:rPr>
          <w:rFonts w:eastAsia="Times New Roman" w:cstheme="minorHAnsi"/>
          <w:b/>
          <w:noProof/>
          <w:sz w:val="24"/>
          <w:u w:val="single"/>
          <w:lang w:eastAsia="en-GB"/>
        </w:rPr>
        <w:t xml:space="preserve"> </w:t>
      </w:r>
      <w:r w:rsidR="00092FD3" w:rsidRPr="00D20B0B">
        <w:rPr>
          <w:rFonts w:eastAsia="Times New Roman" w:cstheme="minorHAnsi"/>
          <w:b/>
          <w:noProof/>
          <w:sz w:val="24"/>
          <w:u w:val="single"/>
          <w:lang w:eastAsia="en-GB"/>
        </w:rPr>
        <w:t xml:space="preserve">Job Description </w:t>
      </w:r>
    </w:p>
    <w:p w14:paraId="38C26FF6" w14:textId="77777777" w:rsidR="00DB505E" w:rsidRPr="00D20B0B" w:rsidRDefault="00DB505E" w:rsidP="00B2678B">
      <w:pPr>
        <w:spacing w:after="0" w:line="240" w:lineRule="auto"/>
        <w:jc w:val="center"/>
        <w:rPr>
          <w:rFonts w:eastAsia="Times New Roman" w:cstheme="minorHAnsi"/>
          <w:b/>
          <w:noProof/>
          <w:sz w:val="24"/>
          <w:u w:val="single"/>
          <w:lang w:eastAsia="en-GB"/>
        </w:rPr>
      </w:pPr>
    </w:p>
    <w:p w14:paraId="73B3136E" w14:textId="7460C398" w:rsidR="00092FD3" w:rsidRPr="009C3573" w:rsidRDefault="00092FD3" w:rsidP="00092FD3">
      <w:pPr>
        <w:spacing w:after="0" w:line="240" w:lineRule="auto"/>
        <w:rPr>
          <w:rFonts w:eastAsia="Times New Roman" w:cstheme="minorHAnsi"/>
          <w:b/>
        </w:rPr>
      </w:pPr>
    </w:p>
    <w:tbl>
      <w:tblPr>
        <w:tblStyle w:val="TableGrid"/>
        <w:tblW w:w="0" w:type="auto"/>
        <w:tblLook w:val="04A0" w:firstRow="1" w:lastRow="0" w:firstColumn="1" w:lastColumn="0" w:noHBand="0" w:noVBand="1"/>
      </w:tblPr>
      <w:tblGrid>
        <w:gridCol w:w="2263"/>
        <w:gridCol w:w="5954"/>
      </w:tblGrid>
      <w:tr w:rsidR="00092FD3" w:rsidRPr="009C3573" w14:paraId="40541C37" w14:textId="77777777" w:rsidTr="00B2678B">
        <w:tc>
          <w:tcPr>
            <w:tcW w:w="2263" w:type="dxa"/>
          </w:tcPr>
          <w:p w14:paraId="37FD572D" w14:textId="77777777" w:rsidR="00092FD3" w:rsidRPr="00D20B0B" w:rsidRDefault="00092FD3" w:rsidP="00F91CB5">
            <w:pPr>
              <w:pStyle w:val="BasicParagraph"/>
              <w:suppressAutoHyphens/>
              <w:rPr>
                <w:rFonts w:asciiTheme="minorHAnsi" w:hAnsiTheme="minorHAnsi" w:cstheme="minorHAnsi"/>
                <w:b/>
                <w:color w:val="auto"/>
                <w:sz w:val="22"/>
                <w:szCs w:val="22"/>
              </w:rPr>
            </w:pPr>
            <w:r w:rsidRPr="00D20B0B">
              <w:rPr>
                <w:rFonts w:asciiTheme="minorHAnsi" w:hAnsiTheme="minorHAnsi" w:cstheme="minorHAnsi"/>
                <w:b/>
                <w:color w:val="auto"/>
                <w:sz w:val="22"/>
                <w:szCs w:val="22"/>
              </w:rPr>
              <w:t>Job Title:</w:t>
            </w:r>
          </w:p>
        </w:tc>
        <w:tc>
          <w:tcPr>
            <w:tcW w:w="5954" w:type="dxa"/>
          </w:tcPr>
          <w:p w14:paraId="0D0628B3" w14:textId="09507EC8" w:rsidR="00092FD3" w:rsidRPr="00D20B0B" w:rsidRDefault="003B164F" w:rsidP="00F91CB5">
            <w:pPr>
              <w:rPr>
                <w:rFonts w:eastAsia="Times New Roman" w:cstheme="minorHAnsi"/>
              </w:rPr>
            </w:pPr>
            <w:r>
              <w:rPr>
                <w:rFonts w:eastAsia="Times New Roman" w:cstheme="minorHAnsi"/>
              </w:rPr>
              <w:t xml:space="preserve">Head of </w:t>
            </w:r>
            <w:r w:rsidR="00A329F3">
              <w:rPr>
                <w:rFonts w:eastAsia="Times New Roman" w:cstheme="minorHAnsi"/>
              </w:rPr>
              <w:t>Learning</w:t>
            </w:r>
          </w:p>
        </w:tc>
      </w:tr>
      <w:tr w:rsidR="00092FD3" w:rsidRPr="009C3573" w14:paraId="10AB9F1D" w14:textId="77777777" w:rsidTr="00B2678B">
        <w:tc>
          <w:tcPr>
            <w:tcW w:w="2263" w:type="dxa"/>
          </w:tcPr>
          <w:p w14:paraId="5C64018A" w14:textId="77777777" w:rsidR="00092FD3" w:rsidRPr="00D20B0B" w:rsidRDefault="00092FD3" w:rsidP="00F91CB5">
            <w:pPr>
              <w:pStyle w:val="BasicParagraph"/>
              <w:suppressAutoHyphens/>
              <w:rPr>
                <w:rFonts w:asciiTheme="minorHAnsi" w:hAnsiTheme="minorHAnsi" w:cstheme="minorHAnsi"/>
                <w:b/>
                <w:color w:val="auto"/>
                <w:sz w:val="22"/>
                <w:szCs w:val="22"/>
              </w:rPr>
            </w:pPr>
            <w:r w:rsidRPr="00D20B0B">
              <w:rPr>
                <w:rFonts w:asciiTheme="minorHAnsi" w:hAnsiTheme="minorHAnsi" w:cstheme="minorHAnsi"/>
                <w:b/>
                <w:color w:val="auto"/>
                <w:sz w:val="22"/>
                <w:szCs w:val="22"/>
              </w:rPr>
              <w:t>Responsibility to:</w:t>
            </w:r>
          </w:p>
        </w:tc>
        <w:tc>
          <w:tcPr>
            <w:tcW w:w="5954" w:type="dxa"/>
          </w:tcPr>
          <w:p w14:paraId="039BF250" w14:textId="4D76D608" w:rsidR="00092FD3" w:rsidRPr="00D20B0B" w:rsidRDefault="00A329F3" w:rsidP="00F91CB5">
            <w:pPr>
              <w:pStyle w:val="BasicParagraph"/>
              <w:suppressAutoHyphens/>
              <w:rPr>
                <w:rFonts w:asciiTheme="minorHAnsi" w:hAnsiTheme="minorHAnsi" w:cstheme="minorHAnsi"/>
                <w:color w:val="auto"/>
                <w:sz w:val="22"/>
                <w:szCs w:val="22"/>
              </w:rPr>
            </w:pPr>
            <w:r>
              <w:rPr>
                <w:rFonts w:asciiTheme="minorHAnsi" w:hAnsiTheme="minorHAnsi" w:cstheme="minorHAnsi"/>
                <w:color w:val="auto"/>
                <w:sz w:val="22"/>
                <w:szCs w:val="22"/>
              </w:rPr>
              <w:t xml:space="preserve">Executive </w:t>
            </w:r>
            <w:r w:rsidR="00092FD3" w:rsidRPr="00D20B0B">
              <w:rPr>
                <w:rFonts w:asciiTheme="minorHAnsi" w:hAnsiTheme="minorHAnsi" w:cstheme="minorHAnsi"/>
                <w:color w:val="auto"/>
                <w:sz w:val="22"/>
                <w:szCs w:val="22"/>
              </w:rPr>
              <w:t>Head</w:t>
            </w:r>
            <w:r w:rsidR="003B164F">
              <w:rPr>
                <w:rFonts w:asciiTheme="minorHAnsi" w:hAnsiTheme="minorHAnsi" w:cstheme="minorHAnsi"/>
                <w:color w:val="auto"/>
                <w:sz w:val="22"/>
                <w:szCs w:val="22"/>
              </w:rPr>
              <w:t>teacher</w:t>
            </w:r>
          </w:p>
        </w:tc>
      </w:tr>
    </w:tbl>
    <w:p w14:paraId="2303C9EB" w14:textId="77777777" w:rsidR="00092FD3" w:rsidRDefault="00092FD3" w:rsidP="00092FD3">
      <w:pPr>
        <w:spacing w:after="0" w:line="240" w:lineRule="auto"/>
        <w:rPr>
          <w:rStyle w:val="SubtleEmphasis"/>
        </w:rPr>
      </w:pPr>
    </w:p>
    <w:p w14:paraId="470AB18B" w14:textId="77777777" w:rsidR="00DB505E" w:rsidRDefault="00DB505E" w:rsidP="00092FD3">
      <w:pPr>
        <w:spacing w:after="0" w:line="240" w:lineRule="auto"/>
        <w:rPr>
          <w:rStyle w:val="SubtleEmphasis"/>
        </w:rPr>
      </w:pPr>
    </w:p>
    <w:p w14:paraId="3183C0AF" w14:textId="77777777" w:rsidR="00DB505E" w:rsidRPr="00355FEC" w:rsidRDefault="00DB505E" w:rsidP="00092FD3">
      <w:pPr>
        <w:spacing w:after="0" w:line="240" w:lineRule="auto"/>
        <w:rPr>
          <w:rStyle w:val="SubtleEmphasis"/>
        </w:rPr>
      </w:pPr>
    </w:p>
    <w:tbl>
      <w:tblPr>
        <w:tblStyle w:val="TableGrid"/>
        <w:tblW w:w="0" w:type="auto"/>
        <w:tblLook w:val="04A0" w:firstRow="1" w:lastRow="0" w:firstColumn="1" w:lastColumn="0" w:noHBand="0" w:noVBand="1"/>
      </w:tblPr>
      <w:tblGrid>
        <w:gridCol w:w="1554"/>
        <w:gridCol w:w="8725"/>
      </w:tblGrid>
      <w:tr w:rsidR="00BB35C7" w:rsidRPr="009C3573" w14:paraId="6E70A508" w14:textId="77777777" w:rsidTr="00D91659">
        <w:tc>
          <w:tcPr>
            <w:tcW w:w="1413" w:type="dxa"/>
          </w:tcPr>
          <w:p w14:paraId="6366008E" w14:textId="77777777" w:rsidR="00BB35C7" w:rsidRPr="00BB35C7" w:rsidRDefault="00BB35C7" w:rsidP="003B164F">
            <w:pPr>
              <w:pStyle w:val="BasicParagraph"/>
              <w:suppressAutoHyphens/>
              <w:rPr>
                <w:rFonts w:asciiTheme="minorHAnsi" w:hAnsiTheme="minorHAnsi" w:cstheme="minorHAnsi"/>
                <w:b/>
                <w:color w:val="auto"/>
                <w:sz w:val="22"/>
                <w:szCs w:val="22"/>
              </w:rPr>
            </w:pPr>
            <w:r w:rsidRPr="00BB35C7">
              <w:rPr>
                <w:rFonts w:asciiTheme="minorHAnsi" w:hAnsiTheme="minorHAnsi" w:cstheme="minorHAnsi"/>
                <w:b/>
                <w:color w:val="auto"/>
                <w:sz w:val="22"/>
                <w:szCs w:val="22"/>
              </w:rPr>
              <w:t>Main purpose of the role:</w:t>
            </w:r>
          </w:p>
        </w:tc>
        <w:tc>
          <w:tcPr>
            <w:tcW w:w="8725" w:type="dxa"/>
          </w:tcPr>
          <w:p w14:paraId="4B6D2727" w14:textId="0B2E0FC7" w:rsidR="003B164F" w:rsidRPr="003B164F" w:rsidRDefault="003B164F" w:rsidP="0097489D">
            <w:pPr>
              <w:pStyle w:val="NoSpacing"/>
              <w:numPr>
                <w:ilvl w:val="0"/>
                <w:numId w:val="13"/>
              </w:numPr>
              <w:rPr>
                <w:lang w:eastAsia="en-GB"/>
              </w:rPr>
            </w:pPr>
            <w:r w:rsidRPr="003B164F">
              <w:rPr>
                <w:lang w:eastAsia="en-GB"/>
              </w:rPr>
              <w:t>To work as a member of the Beacon Senior Leadership Team to achieve the educational vision and aims by enabling smooth and effective running and by ensuring the highest standards of pupil attainment are achieved and maintained.</w:t>
            </w:r>
          </w:p>
          <w:p w14:paraId="3583E3D4" w14:textId="2FA29F45" w:rsidR="003B164F" w:rsidRPr="003B164F" w:rsidRDefault="003B164F" w:rsidP="0097489D">
            <w:pPr>
              <w:pStyle w:val="NoSpacing"/>
              <w:numPr>
                <w:ilvl w:val="0"/>
                <w:numId w:val="13"/>
              </w:numPr>
              <w:rPr>
                <w:lang w:eastAsia="en-GB"/>
              </w:rPr>
            </w:pPr>
            <w:r w:rsidRPr="003B164F">
              <w:rPr>
                <w:lang w:eastAsia="en-GB"/>
              </w:rPr>
              <w:t>To serve in the best interests of the school’s pupils</w:t>
            </w:r>
          </w:p>
          <w:p w14:paraId="1FC7FBA2" w14:textId="3D43BE18" w:rsidR="003B164F" w:rsidRPr="003B164F" w:rsidRDefault="003B164F" w:rsidP="0097489D">
            <w:pPr>
              <w:pStyle w:val="NoSpacing"/>
              <w:numPr>
                <w:ilvl w:val="0"/>
                <w:numId w:val="13"/>
              </w:numPr>
              <w:rPr>
                <w:lang w:eastAsia="en-GB"/>
              </w:rPr>
            </w:pPr>
            <w:r w:rsidRPr="003B164F">
              <w:rPr>
                <w:lang w:eastAsia="en-GB"/>
              </w:rPr>
              <w:t xml:space="preserve">To </w:t>
            </w:r>
            <w:r w:rsidR="0097489D" w:rsidRPr="003B164F">
              <w:rPr>
                <w:lang w:eastAsia="en-GB"/>
              </w:rPr>
              <w:t>always act in line with the school’s cooperative values</w:t>
            </w:r>
          </w:p>
          <w:p w14:paraId="560D317E" w14:textId="7ACAFD14" w:rsidR="003B164F" w:rsidRPr="003B164F" w:rsidRDefault="003B164F" w:rsidP="0097489D">
            <w:pPr>
              <w:pStyle w:val="NoSpacing"/>
              <w:numPr>
                <w:ilvl w:val="0"/>
                <w:numId w:val="13"/>
              </w:numPr>
              <w:rPr>
                <w:lang w:eastAsia="en-GB"/>
              </w:rPr>
            </w:pPr>
            <w:r w:rsidRPr="003B164F">
              <w:rPr>
                <w:lang w:eastAsia="en-GB"/>
              </w:rPr>
              <w:t>To conduct themselves in a manner compatible with their influential position in society by behaving ethically, fulfilling their professional responsibilities and modelling the behaviour of a good citizen</w:t>
            </w:r>
          </w:p>
          <w:p w14:paraId="53309F17" w14:textId="585BEC23" w:rsidR="003B164F" w:rsidRPr="003B164F" w:rsidRDefault="003B164F" w:rsidP="0097489D">
            <w:pPr>
              <w:pStyle w:val="NoSpacing"/>
              <w:numPr>
                <w:ilvl w:val="0"/>
                <w:numId w:val="13"/>
              </w:numPr>
              <w:rPr>
                <w:lang w:eastAsia="en-GB"/>
              </w:rPr>
            </w:pPr>
            <w:r w:rsidRPr="003B164F">
              <w:rPr>
                <w:lang w:eastAsia="en-GB"/>
              </w:rPr>
              <w:t>To uphold their obligation to give account and accept responsibility</w:t>
            </w:r>
          </w:p>
          <w:p w14:paraId="0B5419EA" w14:textId="597EEEED" w:rsidR="003B164F" w:rsidRPr="003B164F" w:rsidRDefault="003B164F" w:rsidP="0097489D">
            <w:pPr>
              <w:pStyle w:val="NoSpacing"/>
              <w:numPr>
                <w:ilvl w:val="0"/>
                <w:numId w:val="13"/>
              </w:numPr>
              <w:rPr>
                <w:lang w:eastAsia="en-GB"/>
              </w:rPr>
            </w:pPr>
            <w:r w:rsidRPr="003B164F">
              <w:rPr>
                <w:lang w:eastAsia="en-GB"/>
              </w:rPr>
              <w:t>To know, understand, and act within the statutory frameworks which set out their professional duties and responsibilities</w:t>
            </w:r>
          </w:p>
          <w:p w14:paraId="3472D058" w14:textId="75A0EFBB" w:rsidR="003B164F" w:rsidRPr="003B164F" w:rsidRDefault="003B164F" w:rsidP="0097489D">
            <w:pPr>
              <w:pStyle w:val="NoSpacing"/>
              <w:numPr>
                <w:ilvl w:val="0"/>
                <w:numId w:val="13"/>
              </w:numPr>
              <w:rPr>
                <w:lang w:eastAsia="en-GB"/>
              </w:rPr>
            </w:pPr>
            <w:r w:rsidRPr="003B164F">
              <w:rPr>
                <w:lang w:eastAsia="en-GB"/>
              </w:rPr>
              <w:t>To take responsibility for their own continued professional development, engaging critically with educational research</w:t>
            </w:r>
          </w:p>
          <w:p w14:paraId="05E67345" w14:textId="3A19DFE1" w:rsidR="00BB35C7" w:rsidRDefault="003B164F" w:rsidP="0097489D">
            <w:pPr>
              <w:pStyle w:val="NoSpacing"/>
              <w:numPr>
                <w:ilvl w:val="0"/>
                <w:numId w:val="13"/>
              </w:numPr>
              <w:rPr>
                <w:lang w:eastAsia="en-GB"/>
              </w:rPr>
            </w:pPr>
            <w:r w:rsidRPr="003B164F">
              <w:rPr>
                <w:lang w:eastAsia="en-GB"/>
              </w:rPr>
              <w:t>To make a positive contribution to the wider education system</w:t>
            </w:r>
          </w:p>
          <w:p w14:paraId="4FC90925" w14:textId="5ED7550B" w:rsidR="003B164F" w:rsidRPr="009C3573" w:rsidRDefault="003B164F" w:rsidP="003B164F">
            <w:pPr>
              <w:rPr>
                <w:rFonts w:eastAsia="Times New Roman" w:cstheme="minorHAnsi"/>
                <w:lang w:eastAsia="en-GB"/>
              </w:rPr>
            </w:pPr>
          </w:p>
        </w:tc>
      </w:tr>
      <w:tr w:rsidR="00BB35C7" w:rsidRPr="009C3573" w14:paraId="06787310" w14:textId="77777777" w:rsidTr="00751E91">
        <w:tc>
          <w:tcPr>
            <w:tcW w:w="10138" w:type="dxa"/>
            <w:gridSpan w:val="2"/>
          </w:tcPr>
          <w:p w14:paraId="727826E1" w14:textId="77777777" w:rsidR="00BB35C7" w:rsidRPr="009C3573" w:rsidRDefault="00BB35C7" w:rsidP="003B164F">
            <w:pPr>
              <w:pStyle w:val="BasicParagraph"/>
              <w:suppressAutoHyphens/>
              <w:jc w:val="center"/>
              <w:rPr>
                <w:rFonts w:asciiTheme="minorHAnsi" w:hAnsiTheme="minorHAnsi" w:cstheme="minorHAnsi"/>
                <w:b/>
                <w:color w:val="auto"/>
                <w:sz w:val="22"/>
                <w:szCs w:val="22"/>
              </w:rPr>
            </w:pPr>
            <w:r w:rsidRPr="009C3573">
              <w:rPr>
                <w:rFonts w:asciiTheme="minorHAnsi" w:hAnsiTheme="minorHAnsi" w:cstheme="minorHAnsi"/>
                <w:b/>
                <w:color w:val="auto"/>
                <w:sz w:val="22"/>
                <w:szCs w:val="22"/>
              </w:rPr>
              <w:t>Main duties</w:t>
            </w:r>
          </w:p>
        </w:tc>
      </w:tr>
      <w:tr w:rsidR="00BB35C7" w:rsidRPr="009C3573" w14:paraId="3E6C43A9" w14:textId="77777777" w:rsidTr="00D91659">
        <w:trPr>
          <w:trHeight w:val="2780"/>
        </w:trPr>
        <w:tc>
          <w:tcPr>
            <w:tcW w:w="1413" w:type="dxa"/>
          </w:tcPr>
          <w:p w14:paraId="525410AC" w14:textId="77777777" w:rsidR="00BB35C7" w:rsidRPr="009C3573" w:rsidRDefault="00BB35C7" w:rsidP="00D56751">
            <w:pPr>
              <w:tabs>
                <w:tab w:val="left" w:pos="720"/>
                <w:tab w:val="left" w:pos="1134"/>
              </w:tabs>
              <w:jc w:val="both"/>
              <w:rPr>
                <w:rFonts w:cstheme="minorHAnsi"/>
                <w:b/>
              </w:rPr>
            </w:pPr>
          </w:p>
        </w:tc>
        <w:tc>
          <w:tcPr>
            <w:tcW w:w="8725" w:type="dxa"/>
          </w:tcPr>
          <w:p w14:paraId="457082FB" w14:textId="77777777" w:rsidR="00D328E6" w:rsidRPr="00D328E6" w:rsidRDefault="00D328E6" w:rsidP="00131C6A">
            <w:pPr>
              <w:pStyle w:val="NoSpacing"/>
              <w:numPr>
                <w:ilvl w:val="0"/>
                <w:numId w:val="7"/>
              </w:numPr>
            </w:pPr>
            <w:r w:rsidRPr="00D328E6">
              <w:t>Improving outcomes within the school and in the wider context of pupils making a positive contribution to their community.</w:t>
            </w:r>
          </w:p>
          <w:p w14:paraId="085DBD8A" w14:textId="7BC3829F" w:rsidR="00D328E6" w:rsidRPr="00D328E6" w:rsidRDefault="00D328E6" w:rsidP="00131C6A">
            <w:pPr>
              <w:pStyle w:val="NoSpacing"/>
              <w:numPr>
                <w:ilvl w:val="0"/>
                <w:numId w:val="7"/>
              </w:numPr>
            </w:pPr>
            <w:r w:rsidRPr="00D328E6">
              <w:t>Providing robust systems to monitor pupil progress and share a deep level of information with other leaders to support a dynamic response when narrowing any gaps in learning. This will include pupils falling below expectations and celebrating those that are thriving.</w:t>
            </w:r>
          </w:p>
          <w:p w14:paraId="0F3D0F42" w14:textId="55DF78F1" w:rsidR="00D328E6" w:rsidRPr="00D328E6" w:rsidRDefault="00D328E6" w:rsidP="00131C6A">
            <w:pPr>
              <w:pStyle w:val="NoSpacing"/>
              <w:numPr>
                <w:ilvl w:val="0"/>
                <w:numId w:val="7"/>
              </w:numPr>
            </w:pPr>
            <w:r w:rsidRPr="00D328E6">
              <w:t>Sustain, and wherever possible enhance the processes, strategic direction and impact of all teacher monitoring – ensuring the peer-to-peer coaching that runs through our achieving excellence programme sustains its rigour and strong ethos as the vehicle for developmental excellence for teachers and leaders across the schools.</w:t>
            </w:r>
          </w:p>
          <w:p w14:paraId="347F0C54" w14:textId="792F9BD3" w:rsidR="00D328E6" w:rsidRPr="00D328E6" w:rsidRDefault="00D328E6" w:rsidP="00131C6A">
            <w:pPr>
              <w:pStyle w:val="NoSpacing"/>
              <w:numPr>
                <w:ilvl w:val="0"/>
                <w:numId w:val="7"/>
              </w:numPr>
            </w:pPr>
            <w:r w:rsidRPr="00D328E6">
              <w:t>Responsibility for the overall quality of teaching and learning,</w:t>
            </w:r>
          </w:p>
          <w:p w14:paraId="0908B295" w14:textId="3279EB88" w:rsidR="00D328E6" w:rsidRPr="00D328E6" w:rsidRDefault="00D328E6" w:rsidP="00131C6A">
            <w:pPr>
              <w:pStyle w:val="NoSpacing"/>
              <w:numPr>
                <w:ilvl w:val="0"/>
                <w:numId w:val="7"/>
              </w:numPr>
            </w:pPr>
            <w:r w:rsidRPr="00D328E6">
              <w:t>Responsibility for the achievement (progress &amp; outcomes) for all pupils</w:t>
            </w:r>
          </w:p>
          <w:p w14:paraId="2DB7BD38" w14:textId="0A4DA03E" w:rsidR="00D328E6" w:rsidRPr="00D328E6" w:rsidRDefault="00D328E6" w:rsidP="00131C6A">
            <w:pPr>
              <w:pStyle w:val="NoSpacing"/>
              <w:numPr>
                <w:ilvl w:val="0"/>
                <w:numId w:val="7"/>
              </w:numPr>
            </w:pPr>
            <w:r w:rsidRPr="00D328E6">
              <w:t>Lead curriculum development and implementation across the Beacon, ensuring it is fit for purpose and any developments in pedagogy nationally or locally (including our own research) are well communicated and woven into an ambitious offer that reflects our vision.</w:t>
            </w:r>
          </w:p>
          <w:p w14:paraId="7CE2E4EE" w14:textId="5F092A36" w:rsidR="00D328E6" w:rsidRPr="00D328E6" w:rsidRDefault="00D328E6" w:rsidP="00131C6A">
            <w:pPr>
              <w:pStyle w:val="NoSpacing"/>
              <w:numPr>
                <w:ilvl w:val="0"/>
                <w:numId w:val="7"/>
              </w:numPr>
            </w:pPr>
            <w:r w:rsidRPr="00D328E6">
              <w:t>Responsibility for Initial teacher training in the Beacon and enhancing wider influence and networking as a key market leader in this area across the South of England</w:t>
            </w:r>
          </w:p>
          <w:p w14:paraId="27758BA1" w14:textId="7DA54297" w:rsidR="00D328E6" w:rsidRPr="00D328E6" w:rsidRDefault="00D328E6" w:rsidP="00131C6A">
            <w:pPr>
              <w:pStyle w:val="NoSpacing"/>
              <w:numPr>
                <w:ilvl w:val="0"/>
                <w:numId w:val="7"/>
              </w:numPr>
            </w:pPr>
            <w:r w:rsidRPr="00D328E6">
              <w:t>To develop educational partnerships with mainstream and multi-agency services.</w:t>
            </w:r>
          </w:p>
          <w:p w14:paraId="637A5B0E" w14:textId="47F8870D" w:rsidR="00D328E6" w:rsidRPr="00D328E6" w:rsidRDefault="00D328E6" w:rsidP="00131C6A">
            <w:pPr>
              <w:pStyle w:val="NoSpacing"/>
              <w:numPr>
                <w:ilvl w:val="0"/>
                <w:numId w:val="7"/>
              </w:numPr>
            </w:pPr>
            <w:r w:rsidRPr="00D328E6">
              <w:t>To work across our multiple sites to ensure consistency, ignite creativity and keep the connection and culture of the Beacon – namely the way we do things alongside the highest of standards.</w:t>
            </w:r>
          </w:p>
          <w:p w14:paraId="6804116F" w14:textId="2461E2A7" w:rsidR="00D328E6" w:rsidRPr="00D328E6" w:rsidRDefault="00D328E6" w:rsidP="00131C6A">
            <w:pPr>
              <w:pStyle w:val="NoSpacing"/>
              <w:numPr>
                <w:ilvl w:val="0"/>
                <w:numId w:val="7"/>
              </w:numPr>
            </w:pPr>
            <w:r w:rsidRPr="00D328E6">
              <w:t>As part of the senior leadership you will work closely alongside other leaders, including the Executive Headteacher and Head of Operations as key leaders working across multiple sites. At times the Executive headteacher may require the role to work to support in an operational function should the organisation require it.</w:t>
            </w:r>
          </w:p>
          <w:p w14:paraId="265037BD" w14:textId="77777777" w:rsidR="003B164F" w:rsidRDefault="003B164F" w:rsidP="003B164F">
            <w:pPr>
              <w:pStyle w:val="BasicParagraph"/>
              <w:suppressAutoHyphens/>
              <w:rPr>
                <w:rFonts w:asciiTheme="minorHAnsi" w:eastAsiaTheme="minorHAnsi" w:hAnsiTheme="minorHAnsi" w:cstheme="minorHAnsi"/>
                <w:color w:val="auto"/>
                <w:sz w:val="22"/>
                <w:szCs w:val="22"/>
                <w:lang w:eastAsia="en-US"/>
              </w:rPr>
            </w:pPr>
          </w:p>
          <w:p w14:paraId="02C59FB4" w14:textId="77777777" w:rsidR="00DB505E" w:rsidRDefault="00DB505E" w:rsidP="003B164F">
            <w:pPr>
              <w:pStyle w:val="BasicParagraph"/>
              <w:suppressAutoHyphens/>
              <w:rPr>
                <w:rFonts w:asciiTheme="minorHAnsi" w:eastAsiaTheme="minorHAnsi" w:hAnsiTheme="minorHAnsi" w:cstheme="minorHAnsi"/>
                <w:color w:val="auto"/>
                <w:sz w:val="22"/>
                <w:szCs w:val="22"/>
                <w:lang w:eastAsia="en-US"/>
              </w:rPr>
            </w:pPr>
          </w:p>
          <w:p w14:paraId="01694442" w14:textId="730B61BC" w:rsidR="00880AD5" w:rsidRPr="00EB70F3" w:rsidRDefault="00880AD5" w:rsidP="003B164F">
            <w:pPr>
              <w:pStyle w:val="BasicParagraph"/>
              <w:suppressAutoHyphens/>
              <w:rPr>
                <w:rFonts w:asciiTheme="minorHAnsi" w:eastAsiaTheme="minorHAnsi" w:hAnsiTheme="minorHAnsi" w:cstheme="minorHAnsi"/>
                <w:color w:val="auto"/>
                <w:sz w:val="22"/>
                <w:szCs w:val="22"/>
                <w:lang w:eastAsia="en-US"/>
              </w:rPr>
            </w:pPr>
          </w:p>
        </w:tc>
      </w:tr>
      <w:tr w:rsidR="00BB35C7" w:rsidRPr="009C3573" w14:paraId="4668280A" w14:textId="77777777" w:rsidTr="00D91659">
        <w:tc>
          <w:tcPr>
            <w:tcW w:w="1413" w:type="dxa"/>
          </w:tcPr>
          <w:p w14:paraId="5A6C8043" w14:textId="04EF54EC" w:rsidR="00BB35C7" w:rsidRPr="009C3573" w:rsidRDefault="003B164F" w:rsidP="003B164F">
            <w:pPr>
              <w:pStyle w:val="BasicParagraph"/>
              <w:suppressAutoHyphens/>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Culture</w:t>
            </w:r>
            <w:r w:rsidR="00D56751">
              <w:rPr>
                <w:rFonts w:asciiTheme="minorHAnsi" w:hAnsiTheme="minorHAnsi" w:cstheme="minorHAnsi"/>
                <w:b/>
                <w:color w:val="auto"/>
                <w:sz w:val="22"/>
                <w:szCs w:val="22"/>
              </w:rPr>
              <w:t xml:space="preserve"> and Ethos</w:t>
            </w:r>
          </w:p>
          <w:p w14:paraId="0F8175CA" w14:textId="77777777" w:rsidR="00BB35C7" w:rsidRPr="009C3573" w:rsidRDefault="00BB35C7" w:rsidP="003B164F">
            <w:pPr>
              <w:pStyle w:val="BasicParagraph"/>
              <w:suppressAutoHyphens/>
              <w:rPr>
                <w:rFonts w:asciiTheme="minorHAnsi" w:hAnsiTheme="minorHAnsi" w:cstheme="minorHAnsi"/>
                <w:b/>
                <w:color w:val="auto"/>
                <w:sz w:val="22"/>
                <w:szCs w:val="22"/>
              </w:rPr>
            </w:pPr>
          </w:p>
        </w:tc>
        <w:tc>
          <w:tcPr>
            <w:tcW w:w="8725" w:type="dxa"/>
          </w:tcPr>
          <w:p w14:paraId="271D0407" w14:textId="5A03F58A" w:rsidR="008C583A" w:rsidRPr="008C583A" w:rsidRDefault="008C583A" w:rsidP="008C583A">
            <w:pPr>
              <w:pStyle w:val="NoSpacing"/>
              <w:numPr>
                <w:ilvl w:val="0"/>
                <w:numId w:val="9"/>
              </w:numPr>
            </w:pPr>
            <w:r w:rsidRPr="008C583A">
              <w:t xml:space="preserve">Embed strong two-way communication pathways (including reporting and recording) with other leaders, including MAST and Multi Agency liaison. It is pivotal that we focus on the whole system and remain </w:t>
            </w:r>
            <w:r w:rsidR="00D56751" w:rsidRPr="008C583A">
              <w:t>pupil centric</w:t>
            </w:r>
            <w:r w:rsidRPr="008C583A">
              <w:t>. This is pertinent when we consider what exceptional outcomes, achievement and progress looks like for our diverse range of pupils.</w:t>
            </w:r>
          </w:p>
          <w:p w14:paraId="1F304A80" w14:textId="13C19CC9" w:rsidR="008C583A" w:rsidRPr="008C583A" w:rsidRDefault="008C583A" w:rsidP="008C583A">
            <w:pPr>
              <w:pStyle w:val="NoSpacing"/>
              <w:numPr>
                <w:ilvl w:val="0"/>
                <w:numId w:val="9"/>
              </w:numPr>
            </w:pPr>
            <w:r w:rsidRPr="008C583A">
              <w:t>Provide strong information to evidence the successes of The Beacon, specifically in achievement, curriculum, teaching and learning. Providing ambitious developmental plans that support the work of the Heads of School and keep the Beacon moving forward in an exceptional way</w:t>
            </w:r>
          </w:p>
          <w:p w14:paraId="1AA6CEB1" w14:textId="05A87A9A" w:rsidR="008C583A" w:rsidRPr="008C583A" w:rsidRDefault="008C583A" w:rsidP="008C583A">
            <w:pPr>
              <w:pStyle w:val="NoSpacing"/>
              <w:numPr>
                <w:ilvl w:val="0"/>
                <w:numId w:val="9"/>
              </w:numPr>
            </w:pPr>
            <w:r w:rsidRPr="008C583A">
              <w:t xml:space="preserve">To work alongside partner schools to develop the highest standards of joint practice. This will include working as part of </w:t>
            </w:r>
            <w:proofErr w:type="spellStart"/>
            <w:r w:rsidRPr="008C583A">
              <w:t>KsENT</w:t>
            </w:r>
            <w:proofErr w:type="spellEnd"/>
            <w:r w:rsidRPr="008C583A">
              <w:t>, working with mainstream and special schools to foster learning and development as a two-way process.</w:t>
            </w:r>
          </w:p>
          <w:p w14:paraId="00D354C8" w14:textId="2AC257F2" w:rsidR="003B164F" w:rsidRPr="009C3573" w:rsidRDefault="003B164F" w:rsidP="003B164F">
            <w:pPr>
              <w:tabs>
                <w:tab w:val="left" w:pos="720"/>
                <w:tab w:val="left" w:pos="1134"/>
              </w:tabs>
              <w:contextualSpacing/>
              <w:jc w:val="both"/>
              <w:rPr>
                <w:rFonts w:cstheme="minorHAnsi"/>
              </w:rPr>
            </w:pPr>
          </w:p>
        </w:tc>
      </w:tr>
      <w:tr w:rsidR="00BB35C7" w:rsidRPr="009C3573" w14:paraId="422C15C3" w14:textId="77777777" w:rsidTr="00D91659">
        <w:tc>
          <w:tcPr>
            <w:tcW w:w="1413" w:type="dxa"/>
          </w:tcPr>
          <w:p w14:paraId="16D4D0D8" w14:textId="06B365D1" w:rsidR="00BB35C7" w:rsidRPr="00BB35C7" w:rsidRDefault="002847BE" w:rsidP="003B164F">
            <w:pPr>
              <w:pStyle w:val="BasicParagraph"/>
              <w:suppressAutoHyphens/>
              <w:rPr>
                <w:rFonts w:asciiTheme="minorHAnsi" w:hAnsiTheme="minorHAnsi" w:cstheme="minorHAnsi"/>
                <w:b/>
                <w:color w:val="auto"/>
                <w:sz w:val="22"/>
                <w:szCs w:val="22"/>
              </w:rPr>
            </w:pPr>
            <w:r>
              <w:rPr>
                <w:rFonts w:asciiTheme="minorHAnsi" w:eastAsiaTheme="minorHAnsi" w:hAnsiTheme="minorHAnsi" w:cstheme="minorHAnsi"/>
                <w:b/>
                <w:color w:val="auto"/>
                <w:sz w:val="22"/>
                <w:szCs w:val="22"/>
                <w:lang w:eastAsia="en-US"/>
              </w:rPr>
              <w:t>Curriculum and Teaching</w:t>
            </w:r>
          </w:p>
        </w:tc>
        <w:tc>
          <w:tcPr>
            <w:tcW w:w="8725" w:type="dxa"/>
          </w:tcPr>
          <w:p w14:paraId="31E7FC49" w14:textId="77777777" w:rsidR="002847BE" w:rsidRPr="002847BE" w:rsidRDefault="002847BE" w:rsidP="002847BE">
            <w:pPr>
              <w:pStyle w:val="NoSpacing"/>
              <w:numPr>
                <w:ilvl w:val="0"/>
                <w:numId w:val="11"/>
              </w:numPr>
            </w:pPr>
            <w:r w:rsidRPr="002847BE">
              <w:t>To enhance and sustain teacher development using a collaborative monitoring process that exists within, but not solely exclusive to, our Achieving excellence programme.</w:t>
            </w:r>
          </w:p>
          <w:p w14:paraId="2BC64BF2" w14:textId="0576706D" w:rsidR="002847BE" w:rsidRPr="002847BE" w:rsidRDefault="002847BE" w:rsidP="002847BE">
            <w:pPr>
              <w:pStyle w:val="NoSpacing"/>
              <w:numPr>
                <w:ilvl w:val="0"/>
                <w:numId w:val="11"/>
              </w:numPr>
            </w:pPr>
            <w:r w:rsidRPr="002847BE">
              <w:t>To lead the schools work on curriculum design and enhancement (timetable, subject, specialism &amp; curriculum strand development) to ensure that the school has a broad balanced and needs led provision</w:t>
            </w:r>
          </w:p>
          <w:p w14:paraId="715C4B11" w14:textId="7220479F" w:rsidR="002847BE" w:rsidRPr="002847BE" w:rsidRDefault="002847BE" w:rsidP="002847BE">
            <w:pPr>
              <w:pStyle w:val="NoSpacing"/>
              <w:numPr>
                <w:ilvl w:val="0"/>
                <w:numId w:val="11"/>
              </w:numPr>
            </w:pPr>
            <w:r w:rsidRPr="002847BE">
              <w:t>Establish effective curricular leadership with high levels of relevant expertise with access to professional networks and communities</w:t>
            </w:r>
          </w:p>
          <w:p w14:paraId="7CB8C84D" w14:textId="28D257AD" w:rsidR="002847BE" w:rsidRPr="002847BE" w:rsidRDefault="002847BE" w:rsidP="002847BE">
            <w:pPr>
              <w:pStyle w:val="NoSpacing"/>
              <w:numPr>
                <w:ilvl w:val="0"/>
                <w:numId w:val="11"/>
              </w:numPr>
            </w:pPr>
            <w:r w:rsidRPr="002847BE">
              <w:t>Establish and sustain high-quality, expert teaching across all subjects and phases, built on an evidence-informed understanding of effective teaching and how pupils learn</w:t>
            </w:r>
          </w:p>
          <w:p w14:paraId="57E93F5C" w14:textId="6E15DB15" w:rsidR="002847BE" w:rsidRPr="002847BE" w:rsidRDefault="002847BE" w:rsidP="002847BE">
            <w:pPr>
              <w:pStyle w:val="NoSpacing"/>
              <w:numPr>
                <w:ilvl w:val="0"/>
                <w:numId w:val="11"/>
              </w:numPr>
            </w:pPr>
            <w:r w:rsidRPr="002847BE">
              <w:t>Ensure teaching is underpinned by high levels of subject expertise and approaches which respect the distinct nature of subject disciplines or specialist domains</w:t>
            </w:r>
          </w:p>
          <w:p w14:paraId="2A30A356" w14:textId="1109E34D" w:rsidR="002847BE" w:rsidRPr="002847BE" w:rsidRDefault="002847BE" w:rsidP="002847BE">
            <w:pPr>
              <w:pStyle w:val="NoSpacing"/>
              <w:numPr>
                <w:ilvl w:val="0"/>
                <w:numId w:val="11"/>
              </w:numPr>
            </w:pPr>
            <w:r w:rsidRPr="002847BE">
              <w:t>Developing ECT &amp; trainee teacher support, this will include a full range of developmental opportunities into education-based careers (learning and development at all levels)</w:t>
            </w:r>
          </w:p>
          <w:p w14:paraId="26F6D7D6" w14:textId="7C39969E" w:rsidR="002847BE" w:rsidRPr="002847BE" w:rsidRDefault="002847BE" w:rsidP="002847BE">
            <w:pPr>
              <w:pStyle w:val="NoSpacing"/>
              <w:numPr>
                <w:ilvl w:val="0"/>
                <w:numId w:val="11"/>
              </w:numPr>
            </w:pPr>
            <w:r w:rsidRPr="002847BE">
              <w:t>To act as a lead coach, supporting the work of other leaders, including the Wider Leadership Team.</w:t>
            </w:r>
          </w:p>
          <w:p w14:paraId="66C2EC0E" w14:textId="3D0FAF46" w:rsidR="002847BE" w:rsidRPr="002847BE" w:rsidRDefault="002847BE" w:rsidP="002847BE">
            <w:pPr>
              <w:pStyle w:val="NoSpacing"/>
              <w:numPr>
                <w:ilvl w:val="0"/>
                <w:numId w:val="11"/>
              </w:numPr>
            </w:pPr>
            <w:r w:rsidRPr="002847BE">
              <w:t xml:space="preserve">Alongside Heads of School, you will co-construct the designing and development of the </w:t>
            </w:r>
            <w:r w:rsidR="0097489D" w:rsidRPr="002847BE">
              <w:t>school’s</w:t>
            </w:r>
            <w:r>
              <w:t xml:space="preserve"> timetable</w:t>
            </w:r>
          </w:p>
          <w:p w14:paraId="59919C75" w14:textId="3614E8A7" w:rsidR="00BB35C7" w:rsidRPr="003B164F" w:rsidRDefault="00BB35C7" w:rsidP="003B164F">
            <w:pPr>
              <w:tabs>
                <w:tab w:val="left" w:pos="720"/>
                <w:tab w:val="left" w:pos="1134"/>
              </w:tabs>
              <w:contextualSpacing/>
              <w:jc w:val="both"/>
              <w:rPr>
                <w:rFonts w:cstheme="minorHAnsi"/>
              </w:rPr>
            </w:pPr>
          </w:p>
        </w:tc>
      </w:tr>
      <w:tr w:rsidR="00BB35C7" w:rsidRPr="009C3573" w14:paraId="7BEDA8B5" w14:textId="77777777" w:rsidTr="00D91659">
        <w:trPr>
          <w:trHeight w:val="2634"/>
        </w:trPr>
        <w:tc>
          <w:tcPr>
            <w:tcW w:w="1413" w:type="dxa"/>
          </w:tcPr>
          <w:p w14:paraId="304BAAD7" w14:textId="382BAE68" w:rsidR="00BB35C7" w:rsidRPr="009C3573" w:rsidRDefault="002847BE" w:rsidP="003B164F">
            <w:pPr>
              <w:tabs>
                <w:tab w:val="left" w:pos="720"/>
                <w:tab w:val="left" w:pos="1134"/>
              </w:tabs>
              <w:contextualSpacing/>
              <w:jc w:val="both"/>
              <w:rPr>
                <w:rFonts w:cstheme="minorHAnsi"/>
                <w:b/>
              </w:rPr>
            </w:pPr>
            <w:r>
              <w:rPr>
                <w:rFonts w:cstheme="minorHAnsi"/>
                <w:b/>
              </w:rPr>
              <w:t>Organis</w:t>
            </w:r>
            <w:r w:rsidR="00CC4DC6">
              <w:rPr>
                <w:rFonts w:cstheme="minorHAnsi"/>
                <w:b/>
              </w:rPr>
              <w:t>ational Effectiveness</w:t>
            </w:r>
          </w:p>
          <w:p w14:paraId="61E5BB24" w14:textId="77777777" w:rsidR="00BB35C7" w:rsidRPr="009C3573" w:rsidRDefault="00BB35C7" w:rsidP="003B164F">
            <w:pPr>
              <w:pStyle w:val="BasicParagraph"/>
              <w:suppressAutoHyphens/>
              <w:rPr>
                <w:rFonts w:asciiTheme="minorHAnsi" w:hAnsiTheme="minorHAnsi" w:cstheme="minorHAnsi"/>
                <w:b/>
                <w:color w:val="auto"/>
                <w:sz w:val="22"/>
                <w:szCs w:val="22"/>
              </w:rPr>
            </w:pPr>
          </w:p>
        </w:tc>
        <w:tc>
          <w:tcPr>
            <w:tcW w:w="8725" w:type="dxa"/>
          </w:tcPr>
          <w:p w14:paraId="1F5B3EFA" w14:textId="77777777" w:rsidR="00CC4DC6" w:rsidRPr="00CC4DC6" w:rsidRDefault="00CC4DC6" w:rsidP="00CC4DC6">
            <w:pPr>
              <w:pStyle w:val="NoSpacing"/>
              <w:numPr>
                <w:ilvl w:val="0"/>
                <w:numId w:val="12"/>
              </w:numPr>
            </w:pPr>
            <w:r w:rsidRPr="00CC4DC6">
              <w:t>To ensure effective systems and structure are in place for pupil progress tracking &amp; analysis</w:t>
            </w:r>
          </w:p>
          <w:p w14:paraId="0A8BCC9F" w14:textId="2FFD9A45" w:rsidR="00CC4DC6" w:rsidRPr="00CC4DC6" w:rsidRDefault="00CC4DC6" w:rsidP="00CC4DC6">
            <w:pPr>
              <w:pStyle w:val="NoSpacing"/>
              <w:numPr>
                <w:ilvl w:val="0"/>
                <w:numId w:val="12"/>
              </w:numPr>
            </w:pPr>
            <w:r w:rsidRPr="00CC4DC6">
              <w:t>To ensure all processes of targeting and challenging underachievement are robust and the celebration of achievement is prominent throughout the schools.</w:t>
            </w:r>
          </w:p>
          <w:p w14:paraId="3035B466" w14:textId="2F1403F6" w:rsidR="00CC4DC6" w:rsidRPr="00CC4DC6" w:rsidRDefault="00CC4DC6" w:rsidP="00CC4DC6">
            <w:pPr>
              <w:pStyle w:val="NoSpacing"/>
              <w:numPr>
                <w:ilvl w:val="0"/>
                <w:numId w:val="12"/>
              </w:numPr>
            </w:pPr>
            <w:r w:rsidRPr="00CC4DC6">
              <w:t>To champion the role of School to School &amp; international partnerships in extending pupil learning and provision throughout the Beacon</w:t>
            </w:r>
          </w:p>
          <w:p w14:paraId="17566F38" w14:textId="50A04EE0" w:rsidR="00CC4DC6" w:rsidRPr="00CC4DC6" w:rsidRDefault="00CC4DC6" w:rsidP="00CC4DC6">
            <w:pPr>
              <w:pStyle w:val="NoSpacing"/>
              <w:numPr>
                <w:ilvl w:val="0"/>
                <w:numId w:val="12"/>
              </w:numPr>
            </w:pPr>
            <w:r w:rsidRPr="00CC4DC6">
              <w:t>Make use of effective and proportional processes of evaluation to identify and analyse complex or persistent problems and barriers which limit school effectiveness, and identify priority areas for improvemen</w:t>
            </w:r>
            <w:r>
              <w:t>t</w:t>
            </w:r>
          </w:p>
          <w:p w14:paraId="485EE7C1" w14:textId="1A602E9B" w:rsidR="00BB35C7" w:rsidRPr="009C3573" w:rsidRDefault="00BB35C7" w:rsidP="00CC4DC6">
            <w:pPr>
              <w:pStyle w:val="NoSpacing"/>
            </w:pPr>
          </w:p>
        </w:tc>
      </w:tr>
      <w:tr w:rsidR="00DB505E" w:rsidRPr="009C3573" w14:paraId="43B49D86" w14:textId="77777777" w:rsidTr="00751E91">
        <w:trPr>
          <w:trHeight w:val="1455"/>
        </w:trPr>
        <w:tc>
          <w:tcPr>
            <w:tcW w:w="10138" w:type="dxa"/>
            <w:gridSpan w:val="2"/>
          </w:tcPr>
          <w:p w14:paraId="5A45D2CB" w14:textId="16AC988F" w:rsidR="00DB505E" w:rsidRPr="007D0056" w:rsidRDefault="00DB505E" w:rsidP="00DB505E">
            <w:pPr>
              <w:pStyle w:val="BasicParagraph"/>
              <w:suppressAutoHyphens/>
              <w:rPr>
                <w:rFonts w:asciiTheme="minorHAnsi" w:hAnsiTheme="minorHAnsi" w:cstheme="minorHAnsi"/>
                <w:b/>
                <w:sz w:val="22"/>
                <w:szCs w:val="22"/>
              </w:rPr>
            </w:pPr>
            <w:r w:rsidRPr="007D0056">
              <w:rPr>
                <w:rFonts w:asciiTheme="minorHAnsi" w:hAnsiTheme="minorHAnsi" w:cstheme="minorHAnsi"/>
                <w:sz w:val="22"/>
                <w:szCs w:val="22"/>
              </w:rPr>
              <w:t>The Beacon School is committed to ensuring the highest levels of safeguarding and promoting the welfare of children and young people, and we expect all our staff and volunteers to share this commitment. All offers of employment are subject to an enhanced Disclosure and Barring Service (DBS) check, references, an online search, and where applicable, a prohibition from teaching check will be completed.</w:t>
            </w:r>
          </w:p>
        </w:tc>
      </w:tr>
    </w:tbl>
    <w:p w14:paraId="030BE71D" w14:textId="77777777" w:rsidR="00092FD3" w:rsidRDefault="00092FD3" w:rsidP="00092FD3">
      <w:pPr>
        <w:spacing w:after="0" w:line="240" w:lineRule="auto"/>
        <w:rPr>
          <w:rFonts w:eastAsia="Times New Roman" w:cstheme="minorHAnsi"/>
          <w:b/>
        </w:rPr>
      </w:pPr>
    </w:p>
    <w:p w14:paraId="7AADF74F" w14:textId="77777777" w:rsidR="00F91CB5" w:rsidRPr="00F91CB5" w:rsidRDefault="00F91CB5" w:rsidP="00F91CB5">
      <w:pPr>
        <w:spacing w:after="0" w:line="240" w:lineRule="auto"/>
        <w:jc w:val="center"/>
        <w:rPr>
          <w:rFonts w:eastAsia="Times New Roman" w:cstheme="minorHAnsi"/>
          <w:noProof/>
          <w:sz w:val="24"/>
          <w:u w:val="single"/>
          <w:lang w:eastAsia="en-GB"/>
        </w:rPr>
      </w:pPr>
    </w:p>
    <w:p w14:paraId="7EF57F3E" w14:textId="77777777" w:rsidR="00092FD3" w:rsidRPr="009C3573" w:rsidRDefault="00092FD3" w:rsidP="00092FD3">
      <w:pPr>
        <w:spacing w:after="0" w:line="240" w:lineRule="auto"/>
        <w:rPr>
          <w:rFonts w:eastAsia="Times New Roman" w:cstheme="minorHAnsi"/>
        </w:rPr>
      </w:pPr>
    </w:p>
    <w:p w14:paraId="2B1F73DF" w14:textId="77777777" w:rsidR="00A54E43" w:rsidRDefault="00A54E43"/>
    <w:p w14:paraId="6BCC75E9" w14:textId="77777777" w:rsidR="006F1530" w:rsidRDefault="006F1530"/>
    <w:p w14:paraId="30F0AE53" w14:textId="0D9E11BC" w:rsidR="007E6CD6" w:rsidRDefault="007E6CD6" w:rsidP="007E6CD6">
      <w:pPr>
        <w:spacing w:after="0" w:line="240" w:lineRule="auto"/>
        <w:jc w:val="center"/>
        <w:rPr>
          <w:rFonts w:eastAsia="Times New Roman" w:cstheme="minorHAnsi"/>
          <w:b/>
          <w:noProof/>
          <w:sz w:val="24"/>
          <w:u w:val="single"/>
          <w:lang w:eastAsia="en-GB"/>
        </w:rPr>
      </w:pPr>
      <w:r w:rsidRPr="00D20B0B">
        <w:rPr>
          <w:rFonts w:eastAsia="Times New Roman" w:cstheme="minorHAnsi"/>
          <w:b/>
          <w:noProof/>
          <w:sz w:val="24"/>
          <w:u w:val="single"/>
          <w:lang w:eastAsia="en-GB"/>
        </w:rPr>
        <w:lastRenderedPageBreak/>
        <w:drawing>
          <wp:anchor distT="0" distB="0" distL="114300" distR="114300" simplePos="0" relativeHeight="251658241" behindDoc="1" locked="0" layoutInCell="1" allowOverlap="1" wp14:anchorId="1C5C756E" wp14:editId="41A1124A">
            <wp:simplePos x="0" y="0"/>
            <wp:positionH relativeFrom="column">
              <wp:posOffset>5890260</wp:posOffset>
            </wp:positionH>
            <wp:positionV relativeFrom="paragraph">
              <wp:posOffset>0</wp:posOffset>
            </wp:positionV>
            <wp:extent cx="555625" cy="565150"/>
            <wp:effectExtent l="0" t="0" r="0" b="6350"/>
            <wp:wrapSquare wrapText="bothSides"/>
            <wp:docPr id="1412714144" name="Picture 141271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acon.jpg"/>
                    <pic:cNvPicPr/>
                  </pic:nvPicPr>
                  <pic:blipFill>
                    <a:blip r:embed="rId12">
                      <a:extLst>
                        <a:ext uri="{28A0092B-C50C-407E-A947-70E740481C1C}">
                          <a14:useLocalDpi xmlns:a14="http://schemas.microsoft.com/office/drawing/2010/main" val="0"/>
                        </a:ext>
                      </a:extLst>
                    </a:blip>
                    <a:stretch>
                      <a:fillRect/>
                    </a:stretch>
                  </pic:blipFill>
                  <pic:spPr>
                    <a:xfrm>
                      <a:off x="0" y="0"/>
                      <a:ext cx="555625" cy="565150"/>
                    </a:xfrm>
                    <a:prstGeom prst="rect">
                      <a:avLst/>
                    </a:prstGeom>
                  </pic:spPr>
                </pic:pic>
              </a:graphicData>
            </a:graphic>
            <wp14:sizeRelH relativeFrom="margin">
              <wp14:pctWidth>0</wp14:pctWidth>
            </wp14:sizeRelH>
            <wp14:sizeRelV relativeFrom="margin">
              <wp14:pctHeight>0</wp14:pctHeight>
            </wp14:sizeRelV>
          </wp:anchor>
        </w:drawing>
      </w:r>
      <w:r w:rsidRPr="00D20B0B">
        <w:rPr>
          <w:rFonts w:eastAsia="Times New Roman" w:cstheme="minorHAnsi"/>
          <w:b/>
          <w:noProof/>
          <w:sz w:val="24"/>
          <w:u w:val="single"/>
          <w:lang w:eastAsia="en-GB"/>
        </w:rPr>
        <w:t xml:space="preserve"> </w:t>
      </w:r>
      <w:r>
        <w:rPr>
          <w:rFonts w:eastAsia="Times New Roman" w:cstheme="minorHAnsi"/>
          <w:b/>
          <w:noProof/>
          <w:sz w:val="24"/>
          <w:u w:val="single"/>
          <w:lang w:eastAsia="en-GB"/>
        </w:rPr>
        <w:t>Person Specifi</w:t>
      </w:r>
      <w:r w:rsidR="00D91659">
        <w:rPr>
          <w:rFonts w:eastAsia="Times New Roman" w:cstheme="minorHAnsi"/>
          <w:b/>
          <w:noProof/>
          <w:sz w:val="24"/>
          <w:u w:val="single"/>
          <w:lang w:eastAsia="en-GB"/>
        </w:rPr>
        <w:t>cation</w:t>
      </w:r>
      <w:r w:rsidRPr="00D20B0B">
        <w:rPr>
          <w:rFonts w:eastAsia="Times New Roman" w:cstheme="minorHAnsi"/>
          <w:b/>
          <w:noProof/>
          <w:sz w:val="24"/>
          <w:u w:val="single"/>
          <w:lang w:eastAsia="en-GB"/>
        </w:rPr>
        <w:t xml:space="preserve"> </w:t>
      </w:r>
    </w:p>
    <w:p w14:paraId="5F0E0A75" w14:textId="77777777" w:rsidR="00D91659" w:rsidRDefault="00D91659" w:rsidP="007E6CD6">
      <w:pPr>
        <w:spacing w:after="0" w:line="240" w:lineRule="auto"/>
        <w:jc w:val="center"/>
        <w:rPr>
          <w:rFonts w:eastAsia="Times New Roman" w:cstheme="minorHAnsi"/>
          <w:b/>
          <w:noProof/>
          <w:sz w:val="24"/>
          <w:u w:val="single"/>
          <w:lang w:eastAsia="en-GB"/>
        </w:rPr>
      </w:pPr>
    </w:p>
    <w:p w14:paraId="6EA143EC" w14:textId="77777777" w:rsidR="00D91659" w:rsidRDefault="00D91659" w:rsidP="007E6CD6">
      <w:pPr>
        <w:spacing w:after="0" w:line="240" w:lineRule="auto"/>
        <w:jc w:val="center"/>
        <w:rPr>
          <w:rFonts w:eastAsia="Times New Roman" w:cstheme="minorHAnsi"/>
          <w:b/>
          <w:noProof/>
          <w:sz w:val="24"/>
          <w:u w:val="single"/>
          <w:lang w:eastAsia="en-GB"/>
        </w:rPr>
      </w:pPr>
    </w:p>
    <w:p w14:paraId="0D74FD40" w14:textId="77777777" w:rsidR="00D91659" w:rsidRDefault="00D91659" w:rsidP="007E6CD6">
      <w:pPr>
        <w:spacing w:after="0" w:line="240" w:lineRule="auto"/>
        <w:jc w:val="center"/>
        <w:rPr>
          <w:rFonts w:eastAsia="Times New Roman" w:cstheme="minorHAnsi"/>
          <w:b/>
          <w:noProof/>
          <w:sz w:val="24"/>
          <w:u w:val="single"/>
          <w:lang w:eastAsia="en-GB"/>
        </w:rPr>
      </w:pPr>
    </w:p>
    <w:tbl>
      <w:tblPr>
        <w:tblStyle w:val="TableGrid"/>
        <w:tblW w:w="0" w:type="auto"/>
        <w:tblLook w:val="04A0" w:firstRow="1" w:lastRow="0" w:firstColumn="1" w:lastColumn="0" w:noHBand="0" w:noVBand="1"/>
      </w:tblPr>
      <w:tblGrid>
        <w:gridCol w:w="1760"/>
        <w:gridCol w:w="3119"/>
        <w:gridCol w:w="2410"/>
        <w:gridCol w:w="2410"/>
      </w:tblGrid>
      <w:tr w:rsidR="0027279F" w14:paraId="13660589" w14:textId="46215F28" w:rsidTr="007B7CA0">
        <w:trPr>
          <w:trHeight w:val="481"/>
        </w:trPr>
        <w:tc>
          <w:tcPr>
            <w:tcW w:w="1760" w:type="dxa"/>
            <w:vAlign w:val="center"/>
          </w:tcPr>
          <w:p w14:paraId="269FF228" w14:textId="77777777" w:rsidR="0027279F" w:rsidRDefault="0027279F" w:rsidP="00F606D4">
            <w:pPr>
              <w:jc w:val="center"/>
              <w:rPr>
                <w:b/>
              </w:rPr>
            </w:pPr>
          </w:p>
        </w:tc>
        <w:tc>
          <w:tcPr>
            <w:tcW w:w="3119" w:type="dxa"/>
            <w:vAlign w:val="center"/>
          </w:tcPr>
          <w:p w14:paraId="6119B28F" w14:textId="77777777" w:rsidR="0027279F" w:rsidRDefault="0027279F" w:rsidP="00F606D4">
            <w:pPr>
              <w:jc w:val="center"/>
              <w:rPr>
                <w:b/>
              </w:rPr>
            </w:pPr>
            <w:r>
              <w:rPr>
                <w:b/>
              </w:rPr>
              <w:t>Essential</w:t>
            </w:r>
          </w:p>
        </w:tc>
        <w:tc>
          <w:tcPr>
            <w:tcW w:w="2410" w:type="dxa"/>
            <w:vAlign w:val="center"/>
          </w:tcPr>
          <w:p w14:paraId="31E40379" w14:textId="77777777" w:rsidR="0027279F" w:rsidRDefault="0027279F" w:rsidP="00F606D4">
            <w:pPr>
              <w:jc w:val="center"/>
              <w:rPr>
                <w:b/>
              </w:rPr>
            </w:pPr>
            <w:r>
              <w:rPr>
                <w:b/>
              </w:rPr>
              <w:t>Desirable</w:t>
            </w:r>
          </w:p>
        </w:tc>
        <w:tc>
          <w:tcPr>
            <w:tcW w:w="2410" w:type="dxa"/>
          </w:tcPr>
          <w:p w14:paraId="60240066" w14:textId="77777777" w:rsidR="00603DA0" w:rsidRDefault="0027279F" w:rsidP="00603DA0">
            <w:pPr>
              <w:jc w:val="center"/>
              <w:rPr>
                <w:b/>
              </w:rPr>
            </w:pPr>
            <w:r>
              <w:rPr>
                <w:b/>
              </w:rPr>
              <w:t>Me</w:t>
            </w:r>
            <w:r w:rsidR="00603DA0">
              <w:rPr>
                <w:b/>
              </w:rPr>
              <w:t xml:space="preserve">thod </w:t>
            </w:r>
          </w:p>
          <w:p w14:paraId="094C5E4C" w14:textId="156F0BCA" w:rsidR="0027279F" w:rsidRDefault="00603DA0" w:rsidP="00603DA0">
            <w:pPr>
              <w:jc w:val="center"/>
              <w:rPr>
                <w:b/>
              </w:rPr>
            </w:pPr>
            <w:r>
              <w:rPr>
                <w:b/>
              </w:rPr>
              <w:t>of Assessment</w:t>
            </w:r>
          </w:p>
        </w:tc>
      </w:tr>
      <w:tr w:rsidR="0027279F" w:rsidRPr="00242D05" w14:paraId="25C9D482" w14:textId="6FFA745C" w:rsidTr="007B7CA0">
        <w:trPr>
          <w:trHeight w:val="1573"/>
        </w:trPr>
        <w:tc>
          <w:tcPr>
            <w:tcW w:w="1760" w:type="dxa"/>
          </w:tcPr>
          <w:p w14:paraId="3316AB5E" w14:textId="77777777" w:rsidR="0027279F" w:rsidRDefault="0027279F" w:rsidP="00F606D4">
            <w:pPr>
              <w:rPr>
                <w:rFonts w:ascii="Calibri" w:hAnsi="Calibri" w:cs="Calibri"/>
                <w:b/>
              </w:rPr>
            </w:pPr>
            <w:r w:rsidRPr="00242D05">
              <w:rPr>
                <w:rFonts w:ascii="Calibri" w:hAnsi="Calibri" w:cs="Calibri"/>
                <w:b/>
              </w:rPr>
              <w:t>Qualifications</w:t>
            </w:r>
          </w:p>
          <w:p w14:paraId="4BEF24AC" w14:textId="7609FF5E" w:rsidR="002037D2" w:rsidRPr="002037D2" w:rsidRDefault="002037D2" w:rsidP="00F606D4">
            <w:pPr>
              <w:rPr>
                <w:rFonts w:ascii="Calibri" w:hAnsi="Calibri" w:cs="Calibri"/>
                <w:b/>
                <w:sz w:val="18"/>
                <w:szCs w:val="18"/>
              </w:rPr>
            </w:pPr>
            <w:r w:rsidRPr="002037D2">
              <w:rPr>
                <w:rFonts w:ascii="Calibri" w:hAnsi="Calibri" w:cs="Calibri"/>
                <w:b/>
                <w:sz w:val="18"/>
                <w:szCs w:val="18"/>
              </w:rPr>
              <w:t>(Education/Training)</w:t>
            </w:r>
          </w:p>
        </w:tc>
        <w:tc>
          <w:tcPr>
            <w:tcW w:w="3119" w:type="dxa"/>
          </w:tcPr>
          <w:p w14:paraId="305EB466" w14:textId="7C3D955A" w:rsidR="0027279F" w:rsidRPr="00242D05" w:rsidRDefault="009873FC" w:rsidP="00242D05">
            <w:pPr>
              <w:pStyle w:val="ListParagraph"/>
              <w:numPr>
                <w:ilvl w:val="0"/>
                <w:numId w:val="14"/>
              </w:numPr>
              <w:ind w:left="190" w:hanging="190"/>
              <w:contextualSpacing/>
              <w:rPr>
                <w:rFonts w:ascii="Calibri" w:hAnsi="Calibri" w:cs="Calibri"/>
                <w:sz w:val="22"/>
                <w:szCs w:val="22"/>
              </w:rPr>
            </w:pPr>
            <w:r>
              <w:rPr>
                <w:rFonts w:ascii="Calibri" w:hAnsi="Calibri" w:cs="Calibri"/>
                <w:sz w:val="22"/>
                <w:szCs w:val="22"/>
              </w:rPr>
              <w:t xml:space="preserve">GCSE Maths and English at Grade c/4 or equivalent  </w:t>
            </w:r>
          </w:p>
          <w:p w14:paraId="3C3B85B2" w14:textId="5427F594" w:rsidR="0027279F" w:rsidRPr="00242D05" w:rsidRDefault="00CC1626" w:rsidP="00242D05">
            <w:pPr>
              <w:pStyle w:val="ListParagraph"/>
              <w:numPr>
                <w:ilvl w:val="0"/>
                <w:numId w:val="14"/>
              </w:numPr>
              <w:ind w:left="190" w:hanging="190"/>
              <w:contextualSpacing/>
              <w:rPr>
                <w:rFonts w:ascii="Calibri" w:hAnsi="Calibri" w:cs="Calibri"/>
                <w:sz w:val="22"/>
                <w:szCs w:val="22"/>
              </w:rPr>
            </w:pPr>
            <w:r>
              <w:rPr>
                <w:rFonts w:ascii="Calibri" w:hAnsi="Calibri" w:cs="Calibri"/>
                <w:sz w:val="22"/>
                <w:szCs w:val="22"/>
              </w:rPr>
              <w:t>Qualified Teacher Status (QTS)</w:t>
            </w:r>
          </w:p>
          <w:p w14:paraId="5284D2EF" w14:textId="50C4AA8E" w:rsidR="0027279F" w:rsidRPr="00242D05" w:rsidRDefault="00C22ACC" w:rsidP="00242D05">
            <w:pPr>
              <w:pStyle w:val="ListParagraph"/>
              <w:numPr>
                <w:ilvl w:val="0"/>
                <w:numId w:val="14"/>
              </w:numPr>
              <w:ind w:left="190" w:hanging="190"/>
              <w:contextualSpacing/>
              <w:rPr>
                <w:rFonts w:ascii="Calibri" w:hAnsi="Calibri" w:cs="Calibri"/>
                <w:sz w:val="22"/>
                <w:szCs w:val="22"/>
              </w:rPr>
            </w:pPr>
            <w:r>
              <w:rPr>
                <w:rFonts w:ascii="Calibri" w:hAnsi="Calibri" w:cs="Calibri"/>
                <w:sz w:val="22"/>
                <w:szCs w:val="22"/>
              </w:rPr>
              <w:t>Bachelor’s Degree</w:t>
            </w:r>
          </w:p>
          <w:p w14:paraId="4C9CE96C" w14:textId="23CFE54D" w:rsidR="0027279F" w:rsidRPr="00242D05" w:rsidRDefault="0027279F" w:rsidP="002037D2">
            <w:pPr>
              <w:pStyle w:val="ListParagraph"/>
              <w:ind w:left="190"/>
              <w:contextualSpacing/>
              <w:rPr>
                <w:rFonts w:ascii="Calibri" w:hAnsi="Calibri" w:cs="Calibri"/>
                <w:sz w:val="22"/>
                <w:szCs w:val="22"/>
              </w:rPr>
            </w:pPr>
          </w:p>
        </w:tc>
        <w:tc>
          <w:tcPr>
            <w:tcW w:w="2410" w:type="dxa"/>
          </w:tcPr>
          <w:p w14:paraId="3AB3C2D4" w14:textId="11A9B229" w:rsidR="0027279F" w:rsidRPr="00242D05" w:rsidRDefault="0027279F" w:rsidP="00242D05">
            <w:pPr>
              <w:pStyle w:val="ListParagraph"/>
              <w:numPr>
                <w:ilvl w:val="0"/>
                <w:numId w:val="14"/>
              </w:numPr>
              <w:ind w:left="215" w:hanging="215"/>
              <w:contextualSpacing/>
              <w:rPr>
                <w:rFonts w:ascii="Calibri" w:hAnsi="Calibri" w:cs="Calibri"/>
                <w:sz w:val="22"/>
                <w:szCs w:val="22"/>
              </w:rPr>
            </w:pPr>
            <w:r w:rsidRPr="00242D05">
              <w:rPr>
                <w:rFonts w:ascii="Calibri" w:hAnsi="Calibri" w:cs="Calibri"/>
                <w:sz w:val="22"/>
                <w:szCs w:val="22"/>
              </w:rPr>
              <w:t>NPQH</w:t>
            </w:r>
            <w:r w:rsidR="00935538">
              <w:rPr>
                <w:rFonts w:ascii="Calibri" w:hAnsi="Calibri" w:cs="Calibri"/>
                <w:sz w:val="22"/>
                <w:szCs w:val="22"/>
              </w:rPr>
              <w:t>/NQSL or similar</w:t>
            </w:r>
          </w:p>
          <w:p w14:paraId="1D461CC1" w14:textId="1E810331" w:rsidR="0027279F" w:rsidRPr="00242D05" w:rsidRDefault="00935538" w:rsidP="00242D05">
            <w:pPr>
              <w:pStyle w:val="ListParagraph"/>
              <w:numPr>
                <w:ilvl w:val="0"/>
                <w:numId w:val="14"/>
              </w:numPr>
              <w:ind w:left="215" w:hanging="215"/>
              <w:contextualSpacing/>
              <w:rPr>
                <w:rFonts w:ascii="Calibri" w:hAnsi="Calibri" w:cs="Calibri"/>
                <w:sz w:val="22"/>
                <w:szCs w:val="22"/>
              </w:rPr>
            </w:pPr>
            <w:r>
              <w:rPr>
                <w:rFonts w:ascii="Calibri" w:hAnsi="Calibri" w:cs="Calibri"/>
                <w:sz w:val="22"/>
                <w:szCs w:val="22"/>
              </w:rPr>
              <w:t>Master’s Degree</w:t>
            </w:r>
          </w:p>
        </w:tc>
        <w:tc>
          <w:tcPr>
            <w:tcW w:w="2410" w:type="dxa"/>
          </w:tcPr>
          <w:p w14:paraId="4490B786" w14:textId="77777777" w:rsidR="0027279F" w:rsidRDefault="002E52ED" w:rsidP="00242D05">
            <w:pPr>
              <w:pStyle w:val="ListParagraph"/>
              <w:numPr>
                <w:ilvl w:val="0"/>
                <w:numId w:val="14"/>
              </w:numPr>
              <w:ind w:left="215" w:hanging="215"/>
              <w:contextualSpacing/>
              <w:rPr>
                <w:rFonts w:ascii="Calibri" w:hAnsi="Calibri" w:cs="Calibri"/>
                <w:sz w:val="22"/>
                <w:szCs w:val="22"/>
              </w:rPr>
            </w:pPr>
            <w:r>
              <w:rPr>
                <w:rFonts w:ascii="Calibri" w:hAnsi="Calibri" w:cs="Calibri"/>
                <w:sz w:val="22"/>
                <w:szCs w:val="22"/>
              </w:rPr>
              <w:t>Production of the Applicant’s certificate</w:t>
            </w:r>
          </w:p>
          <w:p w14:paraId="55D21591" w14:textId="41076483" w:rsidR="002E52ED" w:rsidRDefault="002E52ED" w:rsidP="00242D05">
            <w:pPr>
              <w:pStyle w:val="ListParagraph"/>
              <w:numPr>
                <w:ilvl w:val="0"/>
                <w:numId w:val="14"/>
              </w:numPr>
              <w:ind w:left="215" w:hanging="215"/>
              <w:contextualSpacing/>
              <w:rPr>
                <w:rFonts w:ascii="Calibri" w:hAnsi="Calibri" w:cs="Calibri"/>
                <w:sz w:val="22"/>
                <w:szCs w:val="22"/>
              </w:rPr>
            </w:pPr>
            <w:r>
              <w:rPr>
                <w:rFonts w:ascii="Calibri" w:hAnsi="Calibri" w:cs="Calibri"/>
                <w:sz w:val="22"/>
                <w:szCs w:val="22"/>
              </w:rPr>
              <w:t>Discussion at interview</w:t>
            </w:r>
          </w:p>
          <w:p w14:paraId="764EEFA5" w14:textId="51421A2D" w:rsidR="002E52ED" w:rsidRPr="00242D05" w:rsidRDefault="002E52ED" w:rsidP="00242D05">
            <w:pPr>
              <w:pStyle w:val="ListParagraph"/>
              <w:numPr>
                <w:ilvl w:val="0"/>
                <w:numId w:val="14"/>
              </w:numPr>
              <w:ind w:left="215" w:hanging="215"/>
              <w:contextualSpacing/>
              <w:rPr>
                <w:rFonts w:ascii="Calibri" w:hAnsi="Calibri" w:cs="Calibri"/>
                <w:sz w:val="22"/>
                <w:szCs w:val="22"/>
              </w:rPr>
            </w:pPr>
            <w:r>
              <w:rPr>
                <w:rFonts w:ascii="Calibri" w:hAnsi="Calibri" w:cs="Calibri"/>
                <w:sz w:val="22"/>
                <w:szCs w:val="22"/>
              </w:rPr>
              <w:t xml:space="preserve">Application </w:t>
            </w:r>
            <w:r w:rsidR="000B0E0E">
              <w:rPr>
                <w:rFonts w:ascii="Calibri" w:hAnsi="Calibri" w:cs="Calibri"/>
                <w:sz w:val="22"/>
                <w:szCs w:val="22"/>
              </w:rPr>
              <w:t>form</w:t>
            </w:r>
          </w:p>
        </w:tc>
      </w:tr>
      <w:tr w:rsidR="0027279F" w:rsidRPr="00242D05" w14:paraId="181ADBA5" w14:textId="5FD908DA" w:rsidTr="007B7CA0">
        <w:trPr>
          <w:trHeight w:val="2323"/>
        </w:trPr>
        <w:tc>
          <w:tcPr>
            <w:tcW w:w="1760" w:type="dxa"/>
          </w:tcPr>
          <w:p w14:paraId="4AEA4223" w14:textId="624B2E0F" w:rsidR="0027279F" w:rsidRPr="00242D05" w:rsidRDefault="00364FBB" w:rsidP="00F606D4">
            <w:pPr>
              <w:rPr>
                <w:rFonts w:ascii="Calibri" w:hAnsi="Calibri" w:cs="Calibri"/>
                <w:b/>
              </w:rPr>
            </w:pPr>
            <w:r>
              <w:rPr>
                <w:rFonts w:ascii="Calibri" w:hAnsi="Calibri" w:cs="Calibri"/>
                <w:b/>
              </w:rPr>
              <w:t>Experience</w:t>
            </w:r>
          </w:p>
        </w:tc>
        <w:tc>
          <w:tcPr>
            <w:tcW w:w="3119" w:type="dxa"/>
          </w:tcPr>
          <w:p w14:paraId="17F81A6D" w14:textId="540CA01C" w:rsidR="0027279F" w:rsidRPr="00242D05" w:rsidRDefault="00D63321" w:rsidP="00242D05">
            <w:pPr>
              <w:pStyle w:val="ListParagraph"/>
              <w:numPr>
                <w:ilvl w:val="0"/>
                <w:numId w:val="15"/>
              </w:numPr>
              <w:ind w:left="190" w:hanging="190"/>
              <w:contextualSpacing/>
              <w:rPr>
                <w:rFonts w:ascii="Calibri" w:hAnsi="Calibri" w:cs="Calibri"/>
                <w:sz w:val="22"/>
                <w:szCs w:val="22"/>
              </w:rPr>
            </w:pPr>
            <w:r>
              <w:rPr>
                <w:rFonts w:ascii="Calibri" w:hAnsi="Calibri" w:cs="Calibri"/>
                <w:sz w:val="22"/>
                <w:szCs w:val="22"/>
              </w:rPr>
              <w:t xml:space="preserve">Previous experience of middle/senior leadership in a special </w:t>
            </w:r>
            <w:r w:rsidR="00375149">
              <w:rPr>
                <w:rFonts w:ascii="Calibri" w:hAnsi="Calibri" w:cs="Calibri"/>
                <w:sz w:val="22"/>
                <w:szCs w:val="22"/>
              </w:rPr>
              <w:t>education</w:t>
            </w:r>
          </w:p>
          <w:p w14:paraId="241A75AE" w14:textId="77777777" w:rsidR="0027279F" w:rsidRDefault="0027279F" w:rsidP="00242D05">
            <w:pPr>
              <w:pStyle w:val="ListParagraph"/>
              <w:numPr>
                <w:ilvl w:val="0"/>
                <w:numId w:val="15"/>
              </w:numPr>
              <w:ind w:left="190" w:hanging="190"/>
              <w:contextualSpacing/>
              <w:rPr>
                <w:rFonts w:ascii="Calibri" w:hAnsi="Calibri" w:cs="Calibri"/>
                <w:sz w:val="22"/>
                <w:szCs w:val="22"/>
              </w:rPr>
            </w:pPr>
            <w:r w:rsidRPr="00242D05">
              <w:rPr>
                <w:rFonts w:ascii="Calibri" w:hAnsi="Calibri" w:cs="Calibri"/>
                <w:sz w:val="22"/>
                <w:szCs w:val="22"/>
              </w:rPr>
              <w:t>Can inspire and influence others, within and beyond the school, to believe in the fundamental</w:t>
            </w:r>
            <w:r w:rsidRPr="00242D05">
              <w:rPr>
                <w:rFonts w:ascii="Calibri" w:hAnsi="Calibri" w:cs="Calibri"/>
                <w:spacing w:val="-45"/>
                <w:sz w:val="22"/>
                <w:szCs w:val="22"/>
              </w:rPr>
              <w:t xml:space="preserve"> </w:t>
            </w:r>
            <w:r w:rsidRPr="00242D05">
              <w:rPr>
                <w:rFonts w:ascii="Calibri" w:hAnsi="Calibri" w:cs="Calibri"/>
                <w:sz w:val="22"/>
                <w:szCs w:val="22"/>
              </w:rPr>
              <w:t>importance</w:t>
            </w:r>
            <w:r w:rsidRPr="00242D05">
              <w:rPr>
                <w:rFonts w:ascii="Calibri" w:hAnsi="Calibri" w:cs="Calibri"/>
                <w:spacing w:val="-1"/>
                <w:sz w:val="22"/>
                <w:szCs w:val="22"/>
              </w:rPr>
              <w:t xml:space="preserve"> </w:t>
            </w:r>
            <w:r w:rsidRPr="00242D05">
              <w:rPr>
                <w:rFonts w:ascii="Calibri" w:hAnsi="Calibri" w:cs="Calibri"/>
                <w:sz w:val="22"/>
                <w:szCs w:val="22"/>
              </w:rPr>
              <w:t>and</w:t>
            </w:r>
            <w:r w:rsidRPr="00242D05">
              <w:rPr>
                <w:rFonts w:ascii="Calibri" w:hAnsi="Calibri" w:cs="Calibri"/>
                <w:spacing w:val="-3"/>
                <w:sz w:val="22"/>
                <w:szCs w:val="22"/>
              </w:rPr>
              <w:t xml:space="preserve"> </w:t>
            </w:r>
            <w:r w:rsidRPr="00242D05">
              <w:rPr>
                <w:rFonts w:ascii="Calibri" w:hAnsi="Calibri" w:cs="Calibri"/>
                <w:sz w:val="22"/>
                <w:szCs w:val="22"/>
              </w:rPr>
              <w:t>value of education in</w:t>
            </w:r>
            <w:r w:rsidRPr="00242D05">
              <w:rPr>
                <w:rFonts w:ascii="Calibri" w:hAnsi="Calibri" w:cs="Calibri"/>
                <w:spacing w:val="-1"/>
                <w:sz w:val="22"/>
                <w:szCs w:val="22"/>
              </w:rPr>
              <w:t xml:space="preserve"> </w:t>
            </w:r>
            <w:r w:rsidRPr="00242D05">
              <w:rPr>
                <w:rFonts w:ascii="Calibri" w:hAnsi="Calibri" w:cs="Calibri"/>
                <w:sz w:val="22"/>
                <w:szCs w:val="22"/>
              </w:rPr>
              <w:t>young</w:t>
            </w:r>
            <w:r w:rsidRPr="00242D05">
              <w:rPr>
                <w:rFonts w:ascii="Calibri" w:hAnsi="Calibri" w:cs="Calibri"/>
                <w:spacing w:val="-1"/>
                <w:sz w:val="22"/>
                <w:szCs w:val="22"/>
              </w:rPr>
              <w:t xml:space="preserve"> </w:t>
            </w:r>
            <w:r w:rsidRPr="00242D05">
              <w:rPr>
                <w:rFonts w:ascii="Calibri" w:hAnsi="Calibri" w:cs="Calibri"/>
                <w:sz w:val="22"/>
                <w:szCs w:val="22"/>
              </w:rPr>
              <w:t>people’s lives.</w:t>
            </w:r>
          </w:p>
          <w:p w14:paraId="431D5B00" w14:textId="7B77E224" w:rsidR="00C12E11" w:rsidRDefault="00C12E11" w:rsidP="00242D05">
            <w:pPr>
              <w:pStyle w:val="ListParagraph"/>
              <w:numPr>
                <w:ilvl w:val="0"/>
                <w:numId w:val="15"/>
              </w:numPr>
              <w:ind w:left="190" w:hanging="190"/>
              <w:contextualSpacing/>
              <w:rPr>
                <w:rFonts w:ascii="Calibri" w:hAnsi="Calibri" w:cs="Calibri"/>
                <w:sz w:val="22"/>
                <w:szCs w:val="22"/>
              </w:rPr>
            </w:pPr>
            <w:r>
              <w:rPr>
                <w:rFonts w:ascii="Calibri" w:hAnsi="Calibri" w:cs="Calibri"/>
                <w:sz w:val="22"/>
                <w:szCs w:val="22"/>
              </w:rPr>
              <w:t>Evidence of managing whole school initiatives</w:t>
            </w:r>
          </w:p>
          <w:p w14:paraId="6E998120" w14:textId="38E1D792" w:rsidR="00C12E11" w:rsidRPr="00242D05" w:rsidRDefault="00C12E11" w:rsidP="00242D05">
            <w:pPr>
              <w:pStyle w:val="ListParagraph"/>
              <w:numPr>
                <w:ilvl w:val="0"/>
                <w:numId w:val="15"/>
              </w:numPr>
              <w:ind w:left="190" w:hanging="190"/>
              <w:contextualSpacing/>
              <w:rPr>
                <w:rFonts w:ascii="Calibri" w:hAnsi="Calibri" w:cs="Calibri"/>
                <w:sz w:val="22"/>
                <w:szCs w:val="22"/>
              </w:rPr>
            </w:pPr>
            <w:r>
              <w:rPr>
                <w:rFonts w:ascii="Calibri" w:hAnsi="Calibri" w:cs="Calibri"/>
                <w:sz w:val="22"/>
                <w:szCs w:val="22"/>
              </w:rPr>
              <w:t>Experience of usi</w:t>
            </w:r>
            <w:r w:rsidR="00CA2AC6">
              <w:rPr>
                <w:rFonts w:ascii="Calibri" w:hAnsi="Calibri" w:cs="Calibri"/>
                <w:sz w:val="22"/>
                <w:szCs w:val="22"/>
              </w:rPr>
              <w:t xml:space="preserve">ng data </w:t>
            </w:r>
            <w:r w:rsidR="00535226">
              <w:rPr>
                <w:rFonts w:ascii="Calibri" w:hAnsi="Calibri" w:cs="Calibri"/>
                <w:sz w:val="22"/>
                <w:szCs w:val="22"/>
              </w:rPr>
              <w:t>tracking systems and processes</w:t>
            </w:r>
          </w:p>
          <w:p w14:paraId="262162E3" w14:textId="4B17CF36" w:rsidR="0027279F" w:rsidRPr="00242D05" w:rsidRDefault="0027279F" w:rsidP="00242D05">
            <w:pPr>
              <w:pStyle w:val="ListParagraph"/>
              <w:numPr>
                <w:ilvl w:val="0"/>
                <w:numId w:val="15"/>
              </w:numPr>
              <w:ind w:left="190" w:hanging="190"/>
              <w:contextualSpacing/>
              <w:rPr>
                <w:rFonts w:ascii="Calibri" w:hAnsi="Calibri" w:cs="Calibri"/>
                <w:sz w:val="22"/>
                <w:szCs w:val="22"/>
              </w:rPr>
            </w:pPr>
            <w:r w:rsidRPr="00242D05">
              <w:rPr>
                <w:rFonts w:ascii="Calibri" w:hAnsi="Calibri" w:cs="Calibri"/>
                <w:sz w:val="22"/>
                <w:szCs w:val="22"/>
              </w:rPr>
              <w:t>A</w:t>
            </w:r>
            <w:r w:rsidRPr="00242D05">
              <w:rPr>
                <w:rFonts w:ascii="Calibri" w:hAnsi="Calibri" w:cs="Calibri"/>
                <w:spacing w:val="-2"/>
                <w:sz w:val="22"/>
                <w:szCs w:val="22"/>
              </w:rPr>
              <w:t xml:space="preserve"> </w:t>
            </w:r>
            <w:r w:rsidRPr="00242D05">
              <w:rPr>
                <w:rFonts w:ascii="Calibri" w:hAnsi="Calibri" w:cs="Calibri"/>
                <w:sz w:val="22"/>
                <w:szCs w:val="22"/>
              </w:rPr>
              <w:t>commitment</w:t>
            </w:r>
            <w:r w:rsidRPr="00242D05">
              <w:rPr>
                <w:rFonts w:ascii="Calibri" w:hAnsi="Calibri" w:cs="Calibri"/>
                <w:spacing w:val="-2"/>
                <w:sz w:val="22"/>
                <w:szCs w:val="22"/>
              </w:rPr>
              <w:t xml:space="preserve"> </w:t>
            </w:r>
            <w:r w:rsidRPr="00242D05">
              <w:rPr>
                <w:rFonts w:ascii="Calibri" w:hAnsi="Calibri" w:cs="Calibri"/>
                <w:sz w:val="22"/>
                <w:szCs w:val="22"/>
              </w:rPr>
              <w:t>to</w:t>
            </w:r>
            <w:r w:rsidRPr="00242D05">
              <w:rPr>
                <w:rFonts w:ascii="Calibri" w:hAnsi="Calibri" w:cs="Calibri"/>
                <w:spacing w:val="-2"/>
                <w:sz w:val="22"/>
                <w:szCs w:val="22"/>
              </w:rPr>
              <w:t xml:space="preserve"> </w:t>
            </w:r>
            <w:r w:rsidRPr="00242D05">
              <w:rPr>
                <w:rFonts w:ascii="Calibri" w:hAnsi="Calibri" w:cs="Calibri"/>
                <w:sz w:val="22"/>
                <w:szCs w:val="22"/>
              </w:rPr>
              <w:t>ensuring</w:t>
            </w:r>
            <w:r w:rsidRPr="00242D05">
              <w:rPr>
                <w:rFonts w:ascii="Calibri" w:hAnsi="Calibri" w:cs="Calibri"/>
                <w:spacing w:val="-2"/>
                <w:sz w:val="22"/>
                <w:szCs w:val="22"/>
              </w:rPr>
              <w:t xml:space="preserve"> </w:t>
            </w:r>
            <w:r w:rsidRPr="00242D05">
              <w:rPr>
                <w:rFonts w:ascii="Calibri" w:hAnsi="Calibri" w:cs="Calibri"/>
                <w:sz w:val="22"/>
                <w:szCs w:val="22"/>
              </w:rPr>
              <w:t>inclusion,</w:t>
            </w:r>
            <w:r w:rsidRPr="00242D05">
              <w:rPr>
                <w:rFonts w:ascii="Calibri" w:hAnsi="Calibri" w:cs="Calibri"/>
                <w:spacing w:val="-1"/>
                <w:sz w:val="22"/>
                <w:szCs w:val="22"/>
              </w:rPr>
              <w:t xml:space="preserve"> </w:t>
            </w:r>
            <w:r w:rsidRPr="00242D05">
              <w:rPr>
                <w:rFonts w:ascii="Calibri" w:hAnsi="Calibri" w:cs="Calibri"/>
                <w:sz w:val="22"/>
                <w:szCs w:val="22"/>
              </w:rPr>
              <w:t>diversity</w:t>
            </w:r>
            <w:r w:rsidRPr="00242D05">
              <w:rPr>
                <w:rFonts w:ascii="Calibri" w:hAnsi="Calibri" w:cs="Calibri"/>
                <w:spacing w:val="-1"/>
                <w:sz w:val="22"/>
                <w:szCs w:val="22"/>
              </w:rPr>
              <w:t xml:space="preserve"> </w:t>
            </w:r>
            <w:r w:rsidRPr="00242D05">
              <w:rPr>
                <w:rFonts w:ascii="Calibri" w:hAnsi="Calibri" w:cs="Calibri"/>
                <w:sz w:val="22"/>
                <w:szCs w:val="22"/>
              </w:rPr>
              <w:t>and</w:t>
            </w:r>
            <w:r w:rsidRPr="00242D05">
              <w:rPr>
                <w:rFonts w:ascii="Calibri" w:hAnsi="Calibri" w:cs="Calibri"/>
                <w:spacing w:val="-4"/>
                <w:sz w:val="22"/>
                <w:szCs w:val="22"/>
              </w:rPr>
              <w:t xml:space="preserve"> </w:t>
            </w:r>
            <w:r w:rsidRPr="00242D05">
              <w:rPr>
                <w:rFonts w:ascii="Calibri" w:hAnsi="Calibri" w:cs="Calibri"/>
                <w:sz w:val="22"/>
                <w:szCs w:val="22"/>
              </w:rPr>
              <w:t>access</w:t>
            </w:r>
            <w:r w:rsidRPr="00242D05">
              <w:rPr>
                <w:rFonts w:ascii="Calibri" w:hAnsi="Calibri" w:cs="Calibri"/>
                <w:spacing w:val="-3"/>
                <w:sz w:val="22"/>
                <w:szCs w:val="22"/>
              </w:rPr>
              <w:t xml:space="preserve"> </w:t>
            </w:r>
            <w:r w:rsidRPr="00242D05">
              <w:rPr>
                <w:rFonts w:ascii="Calibri" w:hAnsi="Calibri" w:cs="Calibri"/>
                <w:sz w:val="22"/>
                <w:szCs w:val="22"/>
              </w:rPr>
              <w:t>to</w:t>
            </w:r>
            <w:r w:rsidRPr="00242D05">
              <w:rPr>
                <w:rFonts w:ascii="Calibri" w:hAnsi="Calibri" w:cs="Calibri"/>
                <w:spacing w:val="-2"/>
                <w:sz w:val="22"/>
                <w:szCs w:val="22"/>
              </w:rPr>
              <w:t xml:space="preserve"> </w:t>
            </w:r>
            <w:r w:rsidRPr="00242D05">
              <w:rPr>
                <w:rFonts w:ascii="Calibri" w:hAnsi="Calibri" w:cs="Calibri"/>
                <w:sz w:val="22"/>
                <w:szCs w:val="22"/>
              </w:rPr>
              <w:t>education</w:t>
            </w:r>
            <w:r w:rsidRPr="00242D05">
              <w:rPr>
                <w:rFonts w:ascii="Calibri" w:hAnsi="Calibri" w:cs="Calibri"/>
                <w:spacing w:val="-1"/>
                <w:sz w:val="22"/>
                <w:szCs w:val="22"/>
              </w:rPr>
              <w:t xml:space="preserve"> </w:t>
            </w:r>
            <w:r w:rsidRPr="00242D05">
              <w:rPr>
                <w:rFonts w:ascii="Calibri" w:hAnsi="Calibri" w:cs="Calibri"/>
                <w:sz w:val="22"/>
                <w:szCs w:val="22"/>
              </w:rPr>
              <w:t>for</w:t>
            </w:r>
            <w:r w:rsidRPr="00242D05">
              <w:rPr>
                <w:rFonts w:ascii="Calibri" w:hAnsi="Calibri" w:cs="Calibri"/>
                <w:spacing w:val="-1"/>
                <w:sz w:val="22"/>
                <w:szCs w:val="22"/>
              </w:rPr>
              <w:t xml:space="preserve"> </w:t>
            </w:r>
            <w:r w:rsidRPr="00242D05">
              <w:rPr>
                <w:rFonts w:ascii="Calibri" w:hAnsi="Calibri" w:cs="Calibri"/>
                <w:sz w:val="22"/>
                <w:szCs w:val="22"/>
              </w:rPr>
              <w:t>all</w:t>
            </w:r>
          </w:p>
          <w:p w14:paraId="57541946" w14:textId="77777777" w:rsidR="0027279F" w:rsidRDefault="0027279F" w:rsidP="00242D05">
            <w:pPr>
              <w:pStyle w:val="ListParagraph"/>
              <w:numPr>
                <w:ilvl w:val="0"/>
                <w:numId w:val="15"/>
              </w:numPr>
              <w:ind w:left="190" w:hanging="190"/>
              <w:contextualSpacing/>
              <w:rPr>
                <w:rFonts w:ascii="Calibri" w:hAnsi="Calibri" w:cs="Calibri"/>
                <w:sz w:val="22"/>
                <w:szCs w:val="22"/>
              </w:rPr>
            </w:pPr>
            <w:r w:rsidRPr="00242D05">
              <w:rPr>
                <w:rFonts w:ascii="Calibri" w:hAnsi="Calibri" w:cs="Calibri"/>
                <w:sz w:val="22"/>
                <w:szCs w:val="22"/>
              </w:rPr>
              <w:t>A clear understanding of and commitment to promoting and safeguarding the welfare of</w:t>
            </w:r>
            <w:r w:rsidRPr="00242D05">
              <w:rPr>
                <w:rFonts w:ascii="Calibri" w:hAnsi="Calibri" w:cs="Calibri"/>
                <w:spacing w:val="-45"/>
                <w:sz w:val="22"/>
                <w:szCs w:val="22"/>
              </w:rPr>
              <w:t xml:space="preserve"> </w:t>
            </w:r>
            <w:r w:rsidRPr="00242D05">
              <w:rPr>
                <w:rFonts w:ascii="Calibri" w:hAnsi="Calibri" w:cs="Calibri"/>
                <w:sz w:val="22"/>
                <w:szCs w:val="22"/>
              </w:rPr>
              <w:t>children.</w:t>
            </w:r>
          </w:p>
          <w:p w14:paraId="505A6C6B" w14:textId="77777777" w:rsidR="00A53D3F" w:rsidRPr="00242D05" w:rsidRDefault="00A53D3F" w:rsidP="00A53D3F">
            <w:pPr>
              <w:pStyle w:val="ListParagraph"/>
              <w:numPr>
                <w:ilvl w:val="0"/>
                <w:numId w:val="15"/>
              </w:numPr>
              <w:ind w:left="190" w:hanging="190"/>
              <w:contextualSpacing/>
              <w:rPr>
                <w:rFonts w:ascii="Calibri" w:hAnsi="Calibri" w:cs="Calibri"/>
                <w:sz w:val="22"/>
                <w:szCs w:val="22"/>
              </w:rPr>
            </w:pPr>
            <w:r w:rsidRPr="00242D05">
              <w:rPr>
                <w:rFonts w:ascii="Calibri" w:hAnsi="Calibri" w:cs="Calibri"/>
                <w:sz w:val="22"/>
                <w:szCs w:val="22"/>
              </w:rPr>
              <w:t>A clear understanding of what makes good and outstanding teaching and the ability to</w:t>
            </w:r>
            <w:r w:rsidRPr="00242D05">
              <w:rPr>
                <w:rFonts w:ascii="Calibri" w:hAnsi="Calibri" w:cs="Calibri"/>
                <w:spacing w:val="1"/>
                <w:sz w:val="22"/>
                <w:szCs w:val="22"/>
              </w:rPr>
              <w:t xml:space="preserve"> </w:t>
            </w:r>
            <w:r w:rsidRPr="00242D05">
              <w:rPr>
                <w:rFonts w:ascii="Calibri" w:hAnsi="Calibri" w:cs="Calibri"/>
                <w:sz w:val="22"/>
                <w:szCs w:val="22"/>
              </w:rPr>
              <w:t>develop a culture where striving for outstanding teaching and learning is central to the</w:t>
            </w:r>
            <w:r w:rsidRPr="00242D05">
              <w:rPr>
                <w:rFonts w:ascii="Calibri" w:hAnsi="Calibri" w:cs="Calibri"/>
                <w:spacing w:val="1"/>
                <w:sz w:val="22"/>
                <w:szCs w:val="22"/>
              </w:rPr>
              <w:t xml:space="preserve"> </w:t>
            </w:r>
            <w:r w:rsidRPr="00242D05">
              <w:rPr>
                <w:rFonts w:ascii="Calibri" w:hAnsi="Calibri" w:cs="Calibri"/>
                <w:sz w:val="22"/>
                <w:szCs w:val="22"/>
              </w:rPr>
              <w:t>everyone’s</w:t>
            </w:r>
            <w:r w:rsidRPr="00242D05">
              <w:rPr>
                <w:rFonts w:ascii="Calibri" w:hAnsi="Calibri" w:cs="Calibri"/>
                <w:spacing w:val="-2"/>
                <w:sz w:val="22"/>
                <w:szCs w:val="22"/>
              </w:rPr>
              <w:t xml:space="preserve"> </w:t>
            </w:r>
            <w:r w:rsidRPr="00242D05">
              <w:rPr>
                <w:rFonts w:ascii="Calibri" w:hAnsi="Calibri" w:cs="Calibri"/>
                <w:sz w:val="22"/>
                <w:szCs w:val="22"/>
              </w:rPr>
              <w:t xml:space="preserve">work </w:t>
            </w:r>
          </w:p>
          <w:p w14:paraId="69DB6DA9" w14:textId="77777777" w:rsidR="00A53D3F" w:rsidRPr="00242D05" w:rsidRDefault="00A53D3F" w:rsidP="00242D05">
            <w:pPr>
              <w:pStyle w:val="ListParagraph"/>
              <w:numPr>
                <w:ilvl w:val="0"/>
                <w:numId w:val="15"/>
              </w:numPr>
              <w:ind w:left="190" w:hanging="190"/>
              <w:contextualSpacing/>
              <w:rPr>
                <w:rFonts w:ascii="Calibri" w:hAnsi="Calibri" w:cs="Calibri"/>
                <w:sz w:val="22"/>
                <w:szCs w:val="22"/>
              </w:rPr>
            </w:pPr>
          </w:p>
        </w:tc>
        <w:tc>
          <w:tcPr>
            <w:tcW w:w="2410" w:type="dxa"/>
          </w:tcPr>
          <w:p w14:paraId="5022C691" w14:textId="77777777" w:rsidR="0027279F" w:rsidRDefault="0027279F" w:rsidP="00242D05">
            <w:pPr>
              <w:pStyle w:val="ListParagraph"/>
              <w:numPr>
                <w:ilvl w:val="0"/>
                <w:numId w:val="15"/>
              </w:numPr>
              <w:ind w:left="215" w:hanging="215"/>
              <w:contextualSpacing/>
              <w:rPr>
                <w:rFonts w:ascii="Calibri" w:hAnsi="Calibri" w:cs="Calibri"/>
                <w:sz w:val="22"/>
                <w:szCs w:val="22"/>
              </w:rPr>
            </w:pPr>
            <w:r w:rsidRPr="00242D05">
              <w:rPr>
                <w:rFonts w:ascii="Calibri" w:hAnsi="Calibri" w:cs="Calibri"/>
                <w:sz w:val="22"/>
                <w:szCs w:val="22"/>
              </w:rPr>
              <w:t>Experience of leading in a school adopting a Foundation Cooperative Trust.</w:t>
            </w:r>
          </w:p>
          <w:p w14:paraId="61288AD5" w14:textId="77777777" w:rsidR="00717173" w:rsidRPr="00242D05" w:rsidRDefault="00717173" w:rsidP="00717173">
            <w:pPr>
              <w:pStyle w:val="ListParagraph"/>
              <w:numPr>
                <w:ilvl w:val="0"/>
                <w:numId w:val="15"/>
              </w:numPr>
              <w:ind w:left="215" w:hanging="283"/>
              <w:contextualSpacing/>
              <w:rPr>
                <w:rFonts w:ascii="Calibri" w:hAnsi="Calibri" w:cs="Calibri"/>
                <w:sz w:val="22"/>
                <w:szCs w:val="22"/>
              </w:rPr>
            </w:pPr>
            <w:r w:rsidRPr="00242D05">
              <w:rPr>
                <w:rFonts w:ascii="Calibri" w:hAnsi="Calibri" w:cs="Calibri"/>
                <w:sz w:val="22"/>
                <w:szCs w:val="22"/>
              </w:rPr>
              <w:t xml:space="preserve">Evidence of successfully implementing, managing and evaluating change in a collaborative and sensitive way. </w:t>
            </w:r>
          </w:p>
          <w:p w14:paraId="220AEC60" w14:textId="6B62E544" w:rsidR="00717173" w:rsidRPr="00242D05" w:rsidRDefault="00717173" w:rsidP="00717173">
            <w:pPr>
              <w:pStyle w:val="ListParagraph"/>
              <w:numPr>
                <w:ilvl w:val="0"/>
                <w:numId w:val="15"/>
              </w:numPr>
              <w:ind w:left="215" w:hanging="215"/>
              <w:contextualSpacing/>
              <w:rPr>
                <w:rFonts w:ascii="Calibri" w:hAnsi="Calibri" w:cs="Calibri"/>
                <w:sz w:val="22"/>
                <w:szCs w:val="22"/>
              </w:rPr>
            </w:pPr>
            <w:r w:rsidRPr="00242D05">
              <w:rPr>
                <w:rFonts w:ascii="Calibri" w:hAnsi="Calibri" w:cs="Calibri"/>
                <w:sz w:val="22"/>
                <w:szCs w:val="22"/>
              </w:rPr>
              <w:t>Significant</w:t>
            </w:r>
            <w:r w:rsidRPr="00242D05">
              <w:rPr>
                <w:rFonts w:ascii="Calibri" w:hAnsi="Calibri" w:cs="Calibri"/>
                <w:spacing w:val="-3"/>
                <w:sz w:val="22"/>
                <w:szCs w:val="22"/>
              </w:rPr>
              <w:t xml:space="preserve"> </w:t>
            </w:r>
            <w:r w:rsidRPr="00242D05">
              <w:rPr>
                <w:rFonts w:ascii="Calibri" w:hAnsi="Calibri" w:cs="Calibri"/>
                <w:sz w:val="22"/>
                <w:szCs w:val="22"/>
              </w:rPr>
              <w:t>experience</w:t>
            </w:r>
            <w:r w:rsidRPr="00242D05">
              <w:rPr>
                <w:rFonts w:ascii="Calibri" w:hAnsi="Calibri" w:cs="Calibri"/>
                <w:spacing w:val="-1"/>
                <w:sz w:val="22"/>
                <w:szCs w:val="22"/>
              </w:rPr>
              <w:t xml:space="preserve"> </w:t>
            </w:r>
            <w:r w:rsidRPr="00242D05">
              <w:rPr>
                <w:rFonts w:ascii="Calibri" w:hAnsi="Calibri" w:cs="Calibri"/>
                <w:sz w:val="22"/>
                <w:szCs w:val="22"/>
              </w:rPr>
              <w:t>in</w:t>
            </w:r>
            <w:r w:rsidRPr="00242D05">
              <w:rPr>
                <w:rFonts w:ascii="Calibri" w:hAnsi="Calibri" w:cs="Calibri"/>
                <w:spacing w:val="-4"/>
                <w:sz w:val="22"/>
                <w:szCs w:val="22"/>
              </w:rPr>
              <w:t xml:space="preserve"> </w:t>
            </w:r>
            <w:r w:rsidRPr="00242D05">
              <w:rPr>
                <w:rFonts w:ascii="Calibri" w:hAnsi="Calibri" w:cs="Calibri"/>
                <w:sz w:val="22"/>
                <w:szCs w:val="22"/>
              </w:rPr>
              <w:t>evaluating</w:t>
            </w:r>
            <w:r w:rsidRPr="00242D05">
              <w:rPr>
                <w:rFonts w:ascii="Calibri" w:hAnsi="Calibri" w:cs="Calibri"/>
                <w:spacing w:val="-3"/>
                <w:sz w:val="22"/>
                <w:szCs w:val="22"/>
              </w:rPr>
              <w:t xml:space="preserve"> </w:t>
            </w:r>
            <w:r w:rsidRPr="00242D05">
              <w:rPr>
                <w:rFonts w:ascii="Calibri" w:hAnsi="Calibri" w:cs="Calibri"/>
                <w:sz w:val="22"/>
                <w:szCs w:val="22"/>
              </w:rPr>
              <w:t>and</w:t>
            </w:r>
            <w:r w:rsidRPr="00242D05">
              <w:rPr>
                <w:rFonts w:ascii="Calibri" w:hAnsi="Calibri" w:cs="Calibri"/>
                <w:spacing w:val="-2"/>
                <w:sz w:val="22"/>
                <w:szCs w:val="22"/>
              </w:rPr>
              <w:t xml:space="preserve"> </w:t>
            </w:r>
            <w:r w:rsidRPr="00242D05">
              <w:rPr>
                <w:rFonts w:ascii="Calibri" w:hAnsi="Calibri" w:cs="Calibri"/>
                <w:sz w:val="22"/>
                <w:szCs w:val="22"/>
              </w:rPr>
              <w:t>using</w:t>
            </w:r>
            <w:r w:rsidRPr="00242D05">
              <w:rPr>
                <w:rFonts w:ascii="Calibri" w:hAnsi="Calibri" w:cs="Calibri"/>
                <w:spacing w:val="-2"/>
                <w:sz w:val="22"/>
                <w:szCs w:val="22"/>
              </w:rPr>
              <w:t xml:space="preserve"> </w:t>
            </w:r>
            <w:r w:rsidRPr="00242D05">
              <w:rPr>
                <w:rFonts w:ascii="Calibri" w:hAnsi="Calibri" w:cs="Calibri"/>
                <w:sz w:val="22"/>
                <w:szCs w:val="22"/>
              </w:rPr>
              <w:t>data</w:t>
            </w:r>
            <w:r w:rsidRPr="00242D05">
              <w:rPr>
                <w:rFonts w:ascii="Calibri" w:hAnsi="Calibri" w:cs="Calibri"/>
                <w:spacing w:val="-2"/>
                <w:sz w:val="22"/>
                <w:szCs w:val="22"/>
              </w:rPr>
              <w:t xml:space="preserve"> </w:t>
            </w:r>
            <w:r w:rsidRPr="00242D05">
              <w:rPr>
                <w:rFonts w:ascii="Calibri" w:hAnsi="Calibri" w:cs="Calibri"/>
                <w:sz w:val="22"/>
                <w:szCs w:val="22"/>
              </w:rPr>
              <w:t>to</w:t>
            </w:r>
            <w:r w:rsidRPr="00242D05">
              <w:rPr>
                <w:rFonts w:ascii="Calibri" w:hAnsi="Calibri" w:cs="Calibri"/>
                <w:spacing w:val="-2"/>
                <w:sz w:val="22"/>
                <w:szCs w:val="22"/>
              </w:rPr>
              <w:t xml:space="preserve"> </w:t>
            </w:r>
            <w:r w:rsidRPr="00242D05">
              <w:rPr>
                <w:rFonts w:ascii="Calibri" w:hAnsi="Calibri" w:cs="Calibri"/>
                <w:sz w:val="22"/>
                <w:szCs w:val="22"/>
              </w:rPr>
              <w:t>plan</w:t>
            </w:r>
            <w:r w:rsidRPr="00242D05">
              <w:rPr>
                <w:rFonts w:ascii="Calibri" w:hAnsi="Calibri" w:cs="Calibri"/>
                <w:spacing w:val="-2"/>
                <w:sz w:val="22"/>
                <w:szCs w:val="22"/>
              </w:rPr>
              <w:t xml:space="preserve"> </w:t>
            </w:r>
            <w:r w:rsidRPr="00242D05">
              <w:rPr>
                <w:rFonts w:ascii="Calibri" w:hAnsi="Calibri" w:cs="Calibri"/>
                <w:sz w:val="22"/>
                <w:szCs w:val="22"/>
              </w:rPr>
              <w:t>and</w:t>
            </w:r>
            <w:r w:rsidRPr="00242D05">
              <w:rPr>
                <w:rFonts w:ascii="Calibri" w:hAnsi="Calibri" w:cs="Calibri"/>
                <w:spacing w:val="-3"/>
                <w:sz w:val="22"/>
                <w:szCs w:val="22"/>
              </w:rPr>
              <w:t xml:space="preserve"> </w:t>
            </w:r>
            <w:r w:rsidRPr="00242D05">
              <w:rPr>
                <w:rFonts w:ascii="Calibri" w:hAnsi="Calibri" w:cs="Calibri"/>
                <w:sz w:val="22"/>
                <w:szCs w:val="22"/>
              </w:rPr>
              <w:t>improve</w:t>
            </w:r>
            <w:r w:rsidRPr="00242D05">
              <w:rPr>
                <w:rFonts w:ascii="Calibri" w:hAnsi="Calibri" w:cs="Calibri"/>
                <w:spacing w:val="-1"/>
                <w:sz w:val="22"/>
                <w:szCs w:val="22"/>
              </w:rPr>
              <w:t xml:space="preserve"> </w:t>
            </w:r>
            <w:r w:rsidRPr="00242D05">
              <w:rPr>
                <w:rFonts w:ascii="Calibri" w:hAnsi="Calibri" w:cs="Calibri"/>
                <w:sz w:val="22"/>
                <w:szCs w:val="22"/>
              </w:rPr>
              <w:t>pupil</w:t>
            </w:r>
            <w:r w:rsidRPr="00242D05">
              <w:rPr>
                <w:rFonts w:ascii="Calibri" w:hAnsi="Calibri" w:cs="Calibri"/>
                <w:spacing w:val="-1"/>
                <w:sz w:val="22"/>
                <w:szCs w:val="22"/>
              </w:rPr>
              <w:t xml:space="preserve"> </w:t>
            </w:r>
            <w:r w:rsidRPr="00242D05">
              <w:rPr>
                <w:rFonts w:ascii="Calibri" w:hAnsi="Calibri" w:cs="Calibri"/>
                <w:sz w:val="22"/>
                <w:szCs w:val="22"/>
              </w:rPr>
              <w:t>performance</w:t>
            </w:r>
          </w:p>
        </w:tc>
        <w:tc>
          <w:tcPr>
            <w:tcW w:w="2410" w:type="dxa"/>
          </w:tcPr>
          <w:p w14:paraId="4A2064BA" w14:textId="2B449460" w:rsidR="0027279F" w:rsidRDefault="00B064F3" w:rsidP="00242D05">
            <w:pPr>
              <w:pStyle w:val="ListParagraph"/>
              <w:numPr>
                <w:ilvl w:val="0"/>
                <w:numId w:val="15"/>
              </w:numPr>
              <w:ind w:left="215" w:hanging="215"/>
              <w:contextualSpacing/>
              <w:rPr>
                <w:rFonts w:ascii="Calibri" w:hAnsi="Calibri" w:cs="Calibri"/>
                <w:sz w:val="22"/>
                <w:szCs w:val="22"/>
              </w:rPr>
            </w:pPr>
            <w:r>
              <w:rPr>
                <w:rFonts w:ascii="Calibri" w:hAnsi="Calibri" w:cs="Calibri"/>
                <w:sz w:val="22"/>
                <w:szCs w:val="22"/>
              </w:rPr>
              <w:t xml:space="preserve">Application </w:t>
            </w:r>
            <w:r w:rsidR="003B1487">
              <w:rPr>
                <w:rFonts w:ascii="Calibri" w:hAnsi="Calibri" w:cs="Calibri"/>
                <w:sz w:val="22"/>
                <w:szCs w:val="22"/>
              </w:rPr>
              <w:t>form</w:t>
            </w:r>
          </w:p>
          <w:p w14:paraId="1EF38973" w14:textId="77777777" w:rsidR="003B1487" w:rsidRDefault="003B1487" w:rsidP="00242D05">
            <w:pPr>
              <w:pStyle w:val="ListParagraph"/>
              <w:numPr>
                <w:ilvl w:val="0"/>
                <w:numId w:val="15"/>
              </w:numPr>
              <w:ind w:left="215" w:hanging="215"/>
              <w:contextualSpacing/>
              <w:rPr>
                <w:rFonts w:ascii="Calibri" w:hAnsi="Calibri" w:cs="Calibri"/>
                <w:sz w:val="22"/>
                <w:szCs w:val="22"/>
              </w:rPr>
            </w:pPr>
            <w:r>
              <w:rPr>
                <w:rFonts w:ascii="Calibri" w:hAnsi="Calibri" w:cs="Calibri"/>
                <w:sz w:val="22"/>
                <w:szCs w:val="22"/>
              </w:rPr>
              <w:t>Supporting statement</w:t>
            </w:r>
          </w:p>
          <w:p w14:paraId="7FECD36B" w14:textId="77777777" w:rsidR="005E067D" w:rsidRDefault="005E067D" w:rsidP="005E067D">
            <w:pPr>
              <w:pStyle w:val="ListParagraph"/>
              <w:numPr>
                <w:ilvl w:val="0"/>
                <w:numId w:val="15"/>
              </w:numPr>
              <w:ind w:left="215" w:hanging="283"/>
              <w:contextualSpacing/>
              <w:rPr>
                <w:rFonts w:ascii="Calibri" w:hAnsi="Calibri" w:cs="Calibri"/>
                <w:sz w:val="22"/>
                <w:szCs w:val="22"/>
              </w:rPr>
            </w:pPr>
            <w:r>
              <w:rPr>
                <w:rFonts w:ascii="Calibri" w:hAnsi="Calibri" w:cs="Calibri"/>
                <w:sz w:val="22"/>
                <w:szCs w:val="22"/>
              </w:rPr>
              <w:t>Interview</w:t>
            </w:r>
          </w:p>
          <w:p w14:paraId="24356F95" w14:textId="3B77BD7C" w:rsidR="005E067D" w:rsidRPr="00242D05" w:rsidRDefault="005E067D" w:rsidP="005E067D">
            <w:pPr>
              <w:pStyle w:val="ListParagraph"/>
              <w:numPr>
                <w:ilvl w:val="0"/>
                <w:numId w:val="15"/>
              </w:numPr>
              <w:ind w:left="215" w:hanging="215"/>
              <w:contextualSpacing/>
              <w:rPr>
                <w:rFonts w:ascii="Calibri" w:hAnsi="Calibri" w:cs="Calibri"/>
                <w:sz w:val="22"/>
                <w:szCs w:val="22"/>
              </w:rPr>
            </w:pPr>
            <w:r>
              <w:rPr>
                <w:rFonts w:ascii="Calibri" w:hAnsi="Calibri" w:cs="Calibri"/>
                <w:sz w:val="22"/>
                <w:szCs w:val="22"/>
              </w:rPr>
              <w:t>Professional references</w:t>
            </w:r>
          </w:p>
        </w:tc>
      </w:tr>
      <w:tr w:rsidR="0027279F" w:rsidRPr="00242D05" w14:paraId="7BEB6124" w14:textId="02F50BAD" w:rsidTr="007B7CA0">
        <w:trPr>
          <w:trHeight w:val="2323"/>
        </w:trPr>
        <w:tc>
          <w:tcPr>
            <w:tcW w:w="1760" w:type="dxa"/>
          </w:tcPr>
          <w:p w14:paraId="59690854" w14:textId="0E4310DD" w:rsidR="0027279F" w:rsidRPr="00242D05" w:rsidRDefault="005556FE" w:rsidP="00F606D4">
            <w:pPr>
              <w:rPr>
                <w:rFonts w:ascii="Calibri" w:hAnsi="Calibri" w:cs="Calibri"/>
                <w:b/>
              </w:rPr>
            </w:pPr>
            <w:r>
              <w:rPr>
                <w:rFonts w:ascii="Calibri" w:hAnsi="Calibri" w:cs="Calibri"/>
                <w:b/>
              </w:rPr>
              <w:t>Personal Qualities</w:t>
            </w:r>
          </w:p>
        </w:tc>
        <w:tc>
          <w:tcPr>
            <w:tcW w:w="3119" w:type="dxa"/>
          </w:tcPr>
          <w:p w14:paraId="0AFCBBEB" w14:textId="77777777" w:rsidR="0027279F" w:rsidRDefault="0027279F" w:rsidP="00242D05">
            <w:pPr>
              <w:pStyle w:val="ListParagraph"/>
              <w:numPr>
                <w:ilvl w:val="0"/>
                <w:numId w:val="15"/>
              </w:numPr>
              <w:ind w:left="171" w:hanging="171"/>
              <w:contextualSpacing/>
              <w:rPr>
                <w:rFonts w:ascii="Calibri" w:hAnsi="Calibri" w:cs="Calibri"/>
                <w:sz w:val="22"/>
                <w:szCs w:val="22"/>
              </w:rPr>
            </w:pPr>
            <w:r w:rsidRPr="00242D05">
              <w:rPr>
                <w:rFonts w:ascii="Calibri" w:hAnsi="Calibri" w:cs="Calibri"/>
                <w:sz w:val="22"/>
                <w:szCs w:val="22"/>
              </w:rPr>
              <w:t>The ability to</w:t>
            </w:r>
            <w:r w:rsidRPr="00242D05">
              <w:rPr>
                <w:rFonts w:ascii="Calibri" w:hAnsi="Calibri" w:cs="Calibri"/>
                <w:spacing w:val="1"/>
                <w:sz w:val="22"/>
                <w:szCs w:val="22"/>
              </w:rPr>
              <w:t xml:space="preserve"> </w:t>
            </w:r>
            <w:r w:rsidRPr="00242D05">
              <w:rPr>
                <w:rFonts w:ascii="Calibri" w:hAnsi="Calibri" w:cs="Calibri"/>
                <w:sz w:val="22"/>
                <w:szCs w:val="22"/>
              </w:rPr>
              <w:t>develop a collaborative culture where collective excellence is everyone’s responsibility</w:t>
            </w:r>
          </w:p>
          <w:p w14:paraId="1CC1D7AD" w14:textId="77777777" w:rsidR="00E525A2" w:rsidRPr="00242D05" w:rsidRDefault="00E525A2" w:rsidP="00E525A2">
            <w:pPr>
              <w:pStyle w:val="TableParagraph"/>
              <w:numPr>
                <w:ilvl w:val="0"/>
                <w:numId w:val="15"/>
              </w:numPr>
              <w:tabs>
                <w:tab w:val="left" w:pos="524"/>
              </w:tabs>
              <w:ind w:left="190" w:right="570" w:hanging="190"/>
              <w:rPr>
                <w:rFonts w:ascii="Calibri" w:hAnsi="Calibri" w:cs="Calibri"/>
              </w:rPr>
            </w:pPr>
            <w:r w:rsidRPr="00242D05">
              <w:rPr>
                <w:rFonts w:ascii="Calibri" w:hAnsi="Calibri" w:cs="Calibri"/>
              </w:rPr>
              <w:t>Leadership style that empowers others and creates leadership</w:t>
            </w:r>
            <w:r w:rsidRPr="00242D05">
              <w:rPr>
                <w:rFonts w:ascii="Calibri" w:hAnsi="Calibri" w:cs="Calibri"/>
                <w:spacing w:val="-1"/>
              </w:rPr>
              <w:t xml:space="preserve"> </w:t>
            </w:r>
            <w:r w:rsidRPr="00242D05">
              <w:rPr>
                <w:rFonts w:ascii="Calibri" w:hAnsi="Calibri" w:cs="Calibri"/>
              </w:rPr>
              <w:t>opportunities</w:t>
            </w:r>
          </w:p>
          <w:p w14:paraId="537BCF41" w14:textId="77777777" w:rsidR="00E525A2" w:rsidRPr="00242D05" w:rsidRDefault="00E525A2" w:rsidP="00E525A2">
            <w:pPr>
              <w:pStyle w:val="ListParagraph"/>
              <w:numPr>
                <w:ilvl w:val="0"/>
                <w:numId w:val="15"/>
              </w:numPr>
              <w:ind w:left="190" w:hanging="190"/>
              <w:contextualSpacing/>
              <w:rPr>
                <w:rFonts w:ascii="Calibri" w:hAnsi="Calibri" w:cs="Calibri"/>
                <w:sz w:val="22"/>
                <w:szCs w:val="22"/>
              </w:rPr>
            </w:pPr>
            <w:r w:rsidRPr="00242D05">
              <w:rPr>
                <w:rFonts w:ascii="Calibri" w:hAnsi="Calibri" w:cs="Calibri"/>
                <w:sz w:val="22"/>
                <w:szCs w:val="22"/>
              </w:rPr>
              <w:t xml:space="preserve">Evidence of building and nurturing a positive school culture that enables all staff </w:t>
            </w:r>
            <w:r w:rsidRPr="00242D05">
              <w:rPr>
                <w:rFonts w:ascii="Calibri" w:hAnsi="Calibri" w:cs="Calibri"/>
                <w:sz w:val="22"/>
                <w:szCs w:val="22"/>
              </w:rPr>
              <w:lastRenderedPageBreak/>
              <w:t>to carry out their respective roles to</w:t>
            </w:r>
            <w:r w:rsidRPr="00242D05">
              <w:rPr>
                <w:rFonts w:ascii="Calibri" w:hAnsi="Calibri" w:cs="Calibri"/>
                <w:spacing w:val="-3"/>
                <w:sz w:val="22"/>
                <w:szCs w:val="22"/>
              </w:rPr>
              <w:t xml:space="preserve"> </w:t>
            </w:r>
            <w:r w:rsidRPr="00242D05">
              <w:rPr>
                <w:rFonts w:ascii="Calibri" w:hAnsi="Calibri" w:cs="Calibri"/>
                <w:sz w:val="22"/>
                <w:szCs w:val="22"/>
              </w:rPr>
              <w:t>the</w:t>
            </w:r>
            <w:r w:rsidRPr="00242D05">
              <w:rPr>
                <w:rFonts w:ascii="Calibri" w:hAnsi="Calibri" w:cs="Calibri"/>
                <w:spacing w:val="-6"/>
                <w:sz w:val="22"/>
                <w:szCs w:val="22"/>
              </w:rPr>
              <w:t xml:space="preserve"> </w:t>
            </w:r>
            <w:r w:rsidRPr="00242D05">
              <w:rPr>
                <w:rFonts w:ascii="Calibri" w:hAnsi="Calibri" w:cs="Calibri"/>
                <w:sz w:val="22"/>
                <w:szCs w:val="22"/>
              </w:rPr>
              <w:t>highest</w:t>
            </w:r>
            <w:r w:rsidRPr="00242D05">
              <w:rPr>
                <w:rFonts w:ascii="Calibri" w:hAnsi="Calibri" w:cs="Calibri"/>
                <w:spacing w:val="-2"/>
                <w:sz w:val="22"/>
                <w:szCs w:val="22"/>
              </w:rPr>
              <w:t xml:space="preserve"> </w:t>
            </w:r>
            <w:r w:rsidRPr="00242D05">
              <w:rPr>
                <w:rFonts w:ascii="Calibri" w:hAnsi="Calibri" w:cs="Calibri"/>
                <w:sz w:val="22"/>
                <w:szCs w:val="22"/>
              </w:rPr>
              <w:t>standard</w:t>
            </w:r>
            <w:r w:rsidRPr="00242D05">
              <w:rPr>
                <w:rFonts w:ascii="Calibri" w:hAnsi="Calibri" w:cs="Calibri"/>
                <w:spacing w:val="-2"/>
                <w:sz w:val="22"/>
                <w:szCs w:val="22"/>
              </w:rPr>
              <w:t xml:space="preserve"> </w:t>
            </w:r>
          </w:p>
          <w:p w14:paraId="4FCACE6C" w14:textId="77777777" w:rsidR="00E525A2" w:rsidRPr="00242D05" w:rsidRDefault="00E525A2" w:rsidP="00E525A2">
            <w:pPr>
              <w:pStyle w:val="ListParagraph"/>
              <w:numPr>
                <w:ilvl w:val="0"/>
                <w:numId w:val="15"/>
              </w:numPr>
              <w:ind w:left="190" w:hanging="190"/>
              <w:contextualSpacing/>
              <w:rPr>
                <w:rFonts w:ascii="Calibri" w:hAnsi="Calibri" w:cs="Calibri"/>
                <w:sz w:val="22"/>
                <w:szCs w:val="22"/>
              </w:rPr>
            </w:pPr>
            <w:r w:rsidRPr="00242D05">
              <w:rPr>
                <w:rFonts w:ascii="Calibri" w:hAnsi="Calibri" w:cs="Calibri"/>
                <w:sz w:val="22"/>
                <w:szCs w:val="22"/>
              </w:rPr>
              <w:t>Excellent communication skills and proven ability to listen to, understand and work effectively</w:t>
            </w:r>
            <w:r w:rsidRPr="00242D05">
              <w:rPr>
                <w:rFonts w:ascii="Calibri" w:hAnsi="Calibri" w:cs="Calibri"/>
                <w:spacing w:val="-3"/>
                <w:sz w:val="22"/>
                <w:szCs w:val="22"/>
              </w:rPr>
              <w:t xml:space="preserve"> </w:t>
            </w:r>
            <w:r w:rsidRPr="00242D05">
              <w:rPr>
                <w:rFonts w:ascii="Calibri" w:hAnsi="Calibri" w:cs="Calibri"/>
                <w:sz w:val="22"/>
                <w:szCs w:val="22"/>
              </w:rPr>
              <w:t>with all children,</w:t>
            </w:r>
            <w:r w:rsidRPr="00242D05">
              <w:rPr>
                <w:rFonts w:ascii="Calibri" w:hAnsi="Calibri" w:cs="Calibri"/>
                <w:spacing w:val="-2"/>
                <w:sz w:val="22"/>
                <w:szCs w:val="22"/>
              </w:rPr>
              <w:t xml:space="preserve"> </w:t>
            </w:r>
            <w:r w:rsidRPr="00242D05">
              <w:rPr>
                <w:rFonts w:ascii="Calibri" w:hAnsi="Calibri" w:cs="Calibri"/>
                <w:sz w:val="22"/>
                <w:szCs w:val="22"/>
              </w:rPr>
              <w:t>staff,</w:t>
            </w:r>
            <w:r w:rsidRPr="00242D05">
              <w:rPr>
                <w:rFonts w:ascii="Calibri" w:hAnsi="Calibri" w:cs="Calibri"/>
                <w:spacing w:val="-1"/>
                <w:sz w:val="22"/>
                <w:szCs w:val="22"/>
              </w:rPr>
              <w:t xml:space="preserve"> </w:t>
            </w:r>
            <w:r w:rsidRPr="00242D05">
              <w:rPr>
                <w:rFonts w:ascii="Calibri" w:hAnsi="Calibri" w:cs="Calibri"/>
                <w:sz w:val="22"/>
                <w:szCs w:val="22"/>
              </w:rPr>
              <w:t>governors</w:t>
            </w:r>
            <w:r w:rsidRPr="00242D05">
              <w:rPr>
                <w:rFonts w:ascii="Calibri" w:hAnsi="Calibri" w:cs="Calibri"/>
                <w:spacing w:val="-1"/>
                <w:sz w:val="22"/>
                <w:szCs w:val="22"/>
              </w:rPr>
              <w:t xml:space="preserve"> </w:t>
            </w:r>
            <w:r w:rsidRPr="00242D05">
              <w:rPr>
                <w:rFonts w:ascii="Calibri" w:hAnsi="Calibri" w:cs="Calibri"/>
                <w:sz w:val="22"/>
                <w:szCs w:val="22"/>
              </w:rPr>
              <w:t>and</w:t>
            </w:r>
            <w:r w:rsidRPr="00242D05">
              <w:rPr>
                <w:rFonts w:ascii="Calibri" w:hAnsi="Calibri" w:cs="Calibri"/>
                <w:spacing w:val="-1"/>
                <w:sz w:val="22"/>
                <w:szCs w:val="22"/>
              </w:rPr>
              <w:t xml:space="preserve"> </w:t>
            </w:r>
            <w:r w:rsidRPr="00242D05">
              <w:rPr>
                <w:rFonts w:ascii="Calibri" w:hAnsi="Calibri" w:cs="Calibri"/>
                <w:sz w:val="22"/>
                <w:szCs w:val="22"/>
              </w:rPr>
              <w:t>parents</w:t>
            </w:r>
          </w:p>
          <w:p w14:paraId="38D27A56" w14:textId="77777777" w:rsidR="00E525A2" w:rsidRDefault="00E525A2" w:rsidP="00E525A2">
            <w:pPr>
              <w:pStyle w:val="ListParagraph"/>
              <w:numPr>
                <w:ilvl w:val="0"/>
                <w:numId w:val="15"/>
              </w:numPr>
              <w:ind w:left="171" w:hanging="171"/>
              <w:contextualSpacing/>
              <w:rPr>
                <w:rFonts w:ascii="Calibri" w:hAnsi="Calibri" w:cs="Calibri"/>
                <w:sz w:val="22"/>
                <w:szCs w:val="22"/>
              </w:rPr>
            </w:pPr>
            <w:r w:rsidRPr="00242D05">
              <w:rPr>
                <w:rFonts w:ascii="Calibri" w:hAnsi="Calibri" w:cs="Calibri"/>
                <w:sz w:val="22"/>
                <w:szCs w:val="22"/>
              </w:rPr>
              <w:t>Experience of fostering an open, and equitable professional development culture</w:t>
            </w:r>
          </w:p>
          <w:p w14:paraId="7DABFDB2" w14:textId="77777777" w:rsidR="007B7CA0" w:rsidRPr="00242D05" w:rsidRDefault="007B7CA0" w:rsidP="007B7CA0">
            <w:pPr>
              <w:pStyle w:val="TableParagraph"/>
              <w:numPr>
                <w:ilvl w:val="0"/>
                <w:numId w:val="15"/>
              </w:numPr>
              <w:tabs>
                <w:tab w:val="left" w:pos="524"/>
              </w:tabs>
              <w:ind w:left="190" w:right="120" w:hanging="190"/>
              <w:rPr>
                <w:rFonts w:ascii="Calibri" w:hAnsi="Calibri" w:cs="Calibri"/>
              </w:rPr>
            </w:pPr>
            <w:r w:rsidRPr="00242D05">
              <w:rPr>
                <w:rFonts w:ascii="Calibri" w:hAnsi="Calibri" w:cs="Calibri"/>
              </w:rPr>
              <w:t xml:space="preserve">Inspires confidence and trust. </w:t>
            </w:r>
          </w:p>
          <w:p w14:paraId="4A30884E" w14:textId="77777777" w:rsidR="007B7CA0" w:rsidRPr="00242D05" w:rsidRDefault="007B7CA0" w:rsidP="007B7CA0">
            <w:pPr>
              <w:pStyle w:val="TableParagraph"/>
              <w:numPr>
                <w:ilvl w:val="0"/>
                <w:numId w:val="15"/>
              </w:numPr>
              <w:tabs>
                <w:tab w:val="left" w:pos="524"/>
              </w:tabs>
              <w:ind w:left="190" w:right="120" w:hanging="190"/>
              <w:rPr>
                <w:rFonts w:ascii="Calibri" w:hAnsi="Calibri" w:cs="Calibri"/>
              </w:rPr>
            </w:pPr>
            <w:r w:rsidRPr="00242D05">
              <w:rPr>
                <w:rFonts w:ascii="Calibri" w:hAnsi="Calibri" w:cs="Calibri"/>
              </w:rPr>
              <w:t>Is approachable, shows integrity and leads people not numbers</w:t>
            </w:r>
          </w:p>
          <w:p w14:paraId="42E9EEE1" w14:textId="77777777" w:rsidR="007B7CA0" w:rsidRPr="003458E2" w:rsidRDefault="007B7CA0" w:rsidP="007B7CA0">
            <w:pPr>
              <w:pStyle w:val="TableParagraph"/>
              <w:numPr>
                <w:ilvl w:val="0"/>
                <w:numId w:val="15"/>
              </w:numPr>
              <w:tabs>
                <w:tab w:val="left" w:pos="524"/>
              </w:tabs>
              <w:ind w:left="190" w:right="120" w:hanging="190"/>
              <w:rPr>
                <w:rFonts w:ascii="Calibri" w:hAnsi="Calibri" w:cs="Calibri"/>
              </w:rPr>
            </w:pPr>
            <w:r w:rsidRPr="00242D05">
              <w:rPr>
                <w:rFonts w:ascii="Calibri" w:hAnsi="Calibri" w:cs="Calibri"/>
              </w:rPr>
              <w:t>Evidence of building and nurturing a positive team culture that enables all staff to carry out</w:t>
            </w:r>
            <w:r w:rsidRPr="00242D05">
              <w:rPr>
                <w:rFonts w:ascii="Calibri" w:hAnsi="Calibri" w:cs="Calibri"/>
                <w:spacing w:val="-45"/>
              </w:rPr>
              <w:t xml:space="preserve"> </w:t>
            </w:r>
            <w:r w:rsidRPr="00242D05">
              <w:rPr>
                <w:rFonts w:ascii="Calibri" w:hAnsi="Calibri" w:cs="Calibri"/>
              </w:rPr>
              <w:t>their</w:t>
            </w:r>
            <w:r w:rsidRPr="00242D05">
              <w:rPr>
                <w:rFonts w:ascii="Calibri" w:hAnsi="Calibri" w:cs="Calibri"/>
                <w:spacing w:val="-2"/>
              </w:rPr>
              <w:t xml:space="preserve"> </w:t>
            </w:r>
            <w:r w:rsidRPr="00242D05">
              <w:rPr>
                <w:rFonts w:ascii="Calibri" w:hAnsi="Calibri" w:cs="Calibri"/>
              </w:rPr>
              <w:t>respective</w:t>
            </w:r>
            <w:r w:rsidRPr="00242D05">
              <w:rPr>
                <w:rFonts w:ascii="Calibri" w:hAnsi="Calibri" w:cs="Calibri"/>
                <w:spacing w:val="-1"/>
              </w:rPr>
              <w:t xml:space="preserve"> </w:t>
            </w:r>
            <w:r w:rsidRPr="00242D05">
              <w:rPr>
                <w:rFonts w:ascii="Calibri" w:hAnsi="Calibri" w:cs="Calibri"/>
              </w:rPr>
              <w:t>roles</w:t>
            </w:r>
            <w:r w:rsidRPr="00242D05">
              <w:rPr>
                <w:rFonts w:ascii="Calibri" w:hAnsi="Calibri" w:cs="Calibri"/>
                <w:spacing w:val="-2"/>
              </w:rPr>
              <w:t xml:space="preserve"> </w:t>
            </w:r>
            <w:r w:rsidRPr="00242D05">
              <w:rPr>
                <w:rFonts w:ascii="Calibri" w:hAnsi="Calibri" w:cs="Calibri"/>
              </w:rPr>
              <w:t>to</w:t>
            </w:r>
            <w:r w:rsidRPr="00242D05">
              <w:rPr>
                <w:rFonts w:ascii="Calibri" w:hAnsi="Calibri" w:cs="Calibri"/>
                <w:spacing w:val="-3"/>
              </w:rPr>
              <w:t xml:space="preserve"> </w:t>
            </w:r>
            <w:r w:rsidRPr="00242D05">
              <w:rPr>
                <w:rFonts w:ascii="Calibri" w:hAnsi="Calibri" w:cs="Calibri"/>
              </w:rPr>
              <w:t>the</w:t>
            </w:r>
            <w:r w:rsidRPr="00242D05">
              <w:rPr>
                <w:rFonts w:ascii="Calibri" w:hAnsi="Calibri" w:cs="Calibri"/>
                <w:spacing w:val="-6"/>
              </w:rPr>
              <w:t xml:space="preserve"> </w:t>
            </w:r>
            <w:r w:rsidRPr="00242D05">
              <w:rPr>
                <w:rFonts w:ascii="Calibri" w:hAnsi="Calibri" w:cs="Calibri"/>
              </w:rPr>
              <w:t>highest</w:t>
            </w:r>
            <w:r w:rsidRPr="00242D05">
              <w:rPr>
                <w:rFonts w:ascii="Calibri" w:hAnsi="Calibri" w:cs="Calibri"/>
                <w:spacing w:val="-2"/>
              </w:rPr>
              <w:t xml:space="preserve"> </w:t>
            </w:r>
            <w:r w:rsidRPr="00242D05">
              <w:rPr>
                <w:rFonts w:ascii="Calibri" w:hAnsi="Calibri" w:cs="Calibri"/>
              </w:rPr>
              <w:t>standard</w:t>
            </w:r>
            <w:r w:rsidRPr="00242D05">
              <w:rPr>
                <w:rFonts w:ascii="Calibri" w:hAnsi="Calibri" w:cs="Calibri"/>
                <w:spacing w:val="-2"/>
              </w:rPr>
              <w:t xml:space="preserve"> </w:t>
            </w:r>
          </w:p>
          <w:p w14:paraId="07844D9F" w14:textId="337FE530" w:rsidR="003458E2" w:rsidRPr="0074638E" w:rsidRDefault="003458E2" w:rsidP="007B7CA0">
            <w:pPr>
              <w:pStyle w:val="TableParagraph"/>
              <w:numPr>
                <w:ilvl w:val="0"/>
                <w:numId w:val="15"/>
              </w:numPr>
              <w:tabs>
                <w:tab w:val="left" w:pos="524"/>
              </w:tabs>
              <w:ind w:left="190" w:right="120" w:hanging="190"/>
              <w:rPr>
                <w:rFonts w:ascii="Calibri" w:hAnsi="Calibri" w:cs="Calibri"/>
              </w:rPr>
            </w:pPr>
            <w:r>
              <w:rPr>
                <w:rFonts w:ascii="Calibri" w:hAnsi="Calibri" w:cs="Calibri"/>
                <w:spacing w:val="-2"/>
              </w:rPr>
              <w:t>Be reflective about their own practice and show a willing</w:t>
            </w:r>
            <w:r w:rsidR="0074638E">
              <w:rPr>
                <w:rFonts w:ascii="Calibri" w:hAnsi="Calibri" w:cs="Calibri"/>
                <w:spacing w:val="-2"/>
              </w:rPr>
              <w:t>ness to embrace change</w:t>
            </w:r>
          </w:p>
          <w:p w14:paraId="22211A18" w14:textId="2551721C" w:rsidR="0074638E" w:rsidRDefault="0074638E" w:rsidP="007B7CA0">
            <w:pPr>
              <w:pStyle w:val="TableParagraph"/>
              <w:numPr>
                <w:ilvl w:val="0"/>
                <w:numId w:val="15"/>
              </w:numPr>
              <w:tabs>
                <w:tab w:val="left" w:pos="524"/>
              </w:tabs>
              <w:ind w:left="190" w:right="120" w:hanging="190"/>
              <w:rPr>
                <w:rFonts w:ascii="Calibri" w:hAnsi="Calibri" w:cs="Calibri"/>
              </w:rPr>
            </w:pPr>
            <w:r>
              <w:rPr>
                <w:rFonts w:ascii="Calibri" w:hAnsi="Calibri" w:cs="Calibri"/>
              </w:rPr>
              <w:t xml:space="preserve">Be </w:t>
            </w:r>
            <w:r w:rsidR="00464B56">
              <w:rPr>
                <w:rFonts w:ascii="Calibri" w:hAnsi="Calibri" w:cs="Calibri"/>
              </w:rPr>
              <w:t>c</w:t>
            </w:r>
            <w:r>
              <w:rPr>
                <w:rFonts w:ascii="Calibri" w:hAnsi="Calibri" w:cs="Calibri"/>
              </w:rPr>
              <w:t>alm and resilient</w:t>
            </w:r>
          </w:p>
          <w:p w14:paraId="714EC359" w14:textId="0322B738" w:rsidR="00464B56" w:rsidRDefault="00464B56" w:rsidP="007B7CA0">
            <w:pPr>
              <w:pStyle w:val="TableParagraph"/>
              <w:numPr>
                <w:ilvl w:val="0"/>
                <w:numId w:val="15"/>
              </w:numPr>
              <w:tabs>
                <w:tab w:val="left" w:pos="524"/>
              </w:tabs>
              <w:ind w:left="190" w:right="120" w:hanging="190"/>
              <w:rPr>
                <w:rFonts w:ascii="Calibri" w:hAnsi="Calibri" w:cs="Calibri"/>
              </w:rPr>
            </w:pPr>
            <w:r>
              <w:rPr>
                <w:rFonts w:ascii="Calibri" w:hAnsi="Calibri" w:cs="Calibri"/>
              </w:rPr>
              <w:t xml:space="preserve">Ability to work under pressure and plan, prioritise </w:t>
            </w:r>
            <w:r w:rsidR="004C32AA">
              <w:rPr>
                <w:rFonts w:ascii="Calibri" w:hAnsi="Calibri" w:cs="Calibri"/>
              </w:rPr>
              <w:t>own workload</w:t>
            </w:r>
          </w:p>
          <w:p w14:paraId="32D5FCE3" w14:textId="16B1872B" w:rsidR="004C32AA" w:rsidRDefault="004C32AA" w:rsidP="007B7CA0">
            <w:pPr>
              <w:pStyle w:val="TableParagraph"/>
              <w:numPr>
                <w:ilvl w:val="0"/>
                <w:numId w:val="15"/>
              </w:numPr>
              <w:tabs>
                <w:tab w:val="left" w:pos="524"/>
              </w:tabs>
              <w:ind w:left="190" w:right="120" w:hanging="190"/>
              <w:rPr>
                <w:rFonts w:ascii="Calibri" w:hAnsi="Calibri" w:cs="Calibri"/>
              </w:rPr>
            </w:pPr>
            <w:r>
              <w:rPr>
                <w:rFonts w:ascii="Calibri" w:hAnsi="Calibri" w:cs="Calibri"/>
              </w:rPr>
              <w:t>Time flexibility to ensure tasks are completed</w:t>
            </w:r>
            <w:r w:rsidR="000C639F">
              <w:rPr>
                <w:rFonts w:ascii="Calibri" w:hAnsi="Calibri" w:cs="Calibri"/>
              </w:rPr>
              <w:t xml:space="preserve"> and the needs of the school met</w:t>
            </w:r>
          </w:p>
          <w:p w14:paraId="63ECFC9D" w14:textId="0A44F263" w:rsidR="000C639F" w:rsidRDefault="000C639F" w:rsidP="007B7CA0">
            <w:pPr>
              <w:pStyle w:val="TableParagraph"/>
              <w:numPr>
                <w:ilvl w:val="0"/>
                <w:numId w:val="15"/>
              </w:numPr>
              <w:tabs>
                <w:tab w:val="left" w:pos="524"/>
              </w:tabs>
              <w:ind w:left="190" w:right="120" w:hanging="190"/>
              <w:rPr>
                <w:rFonts w:ascii="Calibri" w:hAnsi="Calibri" w:cs="Calibri"/>
              </w:rPr>
            </w:pPr>
            <w:r>
              <w:rPr>
                <w:rFonts w:ascii="Calibri" w:hAnsi="Calibri" w:cs="Calibri"/>
              </w:rPr>
              <w:t xml:space="preserve">Ability to communicate with a wide range </w:t>
            </w:r>
            <w:r w:rsidR="004B061D">
              <w:rPr>
                <w:rFonts w:ascii="Calibri" w:hAnsi="Calibri" w:cs="Calibri"/>
              </w:rPr>
              <w:t>of people</w:t>
            </w:r>
          </w:p>
          <w:p w14:paraId="0E2114A9" w14:textId="01882594" w:rsidR="004B061D" w:rsidRDefault="004B061D" w:rsidP="007B7CA0">
            <w:pPr>
              <w:pStyle w:val="TableParagraph"/>
              <w:numPr>
                <w:ilvl w:val="0"/>
                <w:numId w:val="15"/>
              </w:numPr>
              <w:tabs>
                <w:tab w:val="left" w:pos="524"/>
              </w:tabs>
              <w:ind w:left="190" w:right="120" w:hanging="190"/>
              <w:rPr>
                <w:rFonts w:ascii="Calibri" w:hAnsi="Calibri" w:cs="Calibri"/>
              </w:rPr>
            </w:pPr>
            <w:r>
              <w:rPr>
                <w:rFonts w:ascii="Calibri" w:hAnsi="Calibri" w:cs="Calibri"/>
              </w:rPr>
              <w:t>Excellent organisational skills</w:t>
            </w:r>
          </w:p>
          <w:p w14:paraId="745E3D37" w14:textId="59B1355E" w:rsidR="004B061D" w:rsidRPr="00242D05" w:rsidRDefault="004B061D" w:rsidP="007B7CA0">
            <w:pPr>
              <w:pStyle w:val="TableParagraph"/>
              <w:numPr>
                <w:ilvl w:val="0"/>
                <w:numId w:val="15"/>
              </w:numPr>
              <w:tabs>
                <w:tab w:val="left" w:pos="524"/>
              </w:tabs>
              <w:ind w:left="190" w:right="120" w:hanging="190"/>
              <w:rPr>
                <w:rFonts w:ascii="Calibri" w:hAnsi="Calibri" w:cs="Calibri"/>
              </w:rPr>
            </w:pPr>
            <w:r>
              <w:rPr>
                <w:rFonts w:ascii="Calibri" w:hAnsi="Calibri" w:cs="Calibri"/>
              </w:rPr>
              <w:t xml:space="preserve">Ability to work effectively as a member of the </w:t>
            </w:r>
            <w:r w:rsidR="005E067D">
              <w:rPr>
                <w:rFonts w:ascii="Calibri" w:hAnsi="Calibri" w:cs="Calibri"/>
              </w:rPr>
              <w:t>schools’</w:t>
            </w:r>
            <w:r>
              <w:rPr>
                <w:rFonts w:ascii="Calibri" w:hAnsi="Calibri" w:cs="Calibri"/>
              </w:rPr>
              <w:t xml:space="preserve"> leadership team</w:t>
            </w:r>
            <w:r w:rsidR="00AF214D">
              <w:rPr>
                <w:rFonts w:ascii="Calibri" w:hAnsi="Calibri" w:cs="Calibri"/>
              </w:rPr>
              <w:t>, Be flexible to the changing needs of the job</w:t>
            </w:r>
          </w:p>
          <w:p w14:paraId="370491EE" w14:textId="325DEEF6" w:rsidR="007B7CA0" w:rsidRPr="00242D05" w:rsidRDefault="007B7CA0" w:rsidP="007B7CA0">
            <w:pPr>
              <w:pStyle w:val="ListParagraph"/>
              <w:ind w:left="171"/>
              <w:contextualSpacing/>
              <w:rPr>
                <w:rFonts w:ascii="Calibri" w:hAnsi="Calibri" w:cs="Calibri"/>
                <w:sz w:val="22"/>
                <w:szCs w:val="22"/>
              </w:rPr>
            </w:pPr>
          </w:p>
        </w:tc>
        <w:tc>
          <w:tcPr>
            <w:tcW w:w="2410" w:type="dxa"/>
          </w:tcPr>
          <w:p w14:paraId="702CA60E" w14:textId="6DAB357A" w:rsidR="0027279F" w:rsidRPr="00242D05" w:rsidRDefault="007B7CA0" w:rsidP="00717173">
            <w:pPr>
              <w:pStyle w:val="ListParagraph"/>
              <w:ind w:left="215"/>
              <w:contextualSpacing/>
              <w:rPr>
                <w:rFonts w:ascii="Calibri" w:hAnsi="Calibri" w:cs="Calibri"/>
                <w:sz w:val="22"/>
                <w:szCs w:val="22"/>
              </w:rPr>
            </w:pPr>
            <w:r w:rsidRPr="00242D05">
              <w:rPr>
                <w:rFonts w:ascii="Calibri" w:hAnsi="Calibri" w:cs="Calibri"/>
                <w:sz w:val="22"/>
                <w:szCs w:val="22"/>
              </w:rPr>
              <w:lastRenderedPageBreak/>
              <w:t>Experience of securing staff engagement and commitment to the school’s vision and values</w:t>
            </w:r>
          </w:p>
        </w:tc>
        <w:tc>
          <w:tcPr>
            <w:tcW w:w="2410" w:type="dxa"/>
          </w:tcPr>
          <w:p w14:paraId="0DADE077" w14:textId="0F5C1425" w:rsidR="005F5603" w:rsidRPr="005F5603" w:rsidRDefault="005E067D" w:rsidP="003B1487">
            <w:pPr>
              <w:pStyle w:val="ListParagraph"/>
              <w:numPr>
                <w:ilvl w:val="0"/>
                <w:numId w:val="15"/>
              </w:numPr>
              <w:ind w:left="215" w:hanging="283"/>
              <w:contextualSpacing/>
              <w:rPr>
                <w:rFonts w:ascii="Calibri" w:hAnsi="Calibri" w:cs="Calibri"/>
                <w:sz w:val="22"/>
                <w:szCs w:val="22"/>
              </w:rPr>
            </w:pPr>
            <w:r>
              <w:rPr>
                <w:rFonts w:ascii="Calibri" w:hAnsi="Calibri" w:cs="Calibri"/>
                <w:sz w:val="22"/>
                <w:szCs w:val="22"/>
              </w:rPr>
              <w:t>Application</w:t>
            </w:r>
            <w:r w:rsidR="005F5603">
              <w:rPr>
                <w:rFonts w:ascii="Calibri" w:hAnsi="Calibri" w:cs="Calibri"/>
                <w:sz w:val="22"/>
                <w:szCs w:val="22"/>
              </w:rPr>
              <w:t xml:space="preserve"> form</w:t>
            </w:r>
          </w:p>
          <w:p w14:paraId="4899BD54" w14:textId="0CFAD444" w:rsidR="0027279F" w:rsidRDefault="003B1487" w:rsidP="003B1487">
            <w:pPr>
              <w:pStyle w:val="ListParagraph"/>
              <w:numPr>
                <w:ilvl w:val="0"/>
                <w:numId w:val="15"/>
              </w:numPr>
              <w:ind w:left="215" w:hanging="283"/>
              <w:contextualSpacing/>
              <w:rPr>
                <w:rFonts w:ascii="Calibri" w:hAnsi="Calibri" w:cs="Calibri"/>
                <w:sz w:val="22"/>
                <w:szCs w:val="22"/>
              </w:rPr>
            </w:pPr>
            <w:r>
              <w:rPr>
                <w:rFonts w:ascii="Calibri" w:hAnsi="Calibri" w:cs="Calibri"/>
                <w:sz w:val="22"/>
                <w:szCs w:val="22"/>
              </w:rPr>
              <w:t>Supporting statement</w:t>
            </w:r>
          </w:p>
          <w:p w14:paraId="29ABD6EC" w14:textId="77777777" w:rsidR="00AF214D" w:rsidRDefault="00AF214D" w:rsidP="003B1487">
            <w:pPr>
              <w:pStyle w:val="ListParagraph"/>
              <w:numPr>
                <w:ilvl w:val="0"/>
                <w:numId w:val="15"/>
              </w:numPr>
              <w:ind w:left="215" w:hanging="283"/>
              <w:contextualSpacing/>
              <w:rPr>
                <w:rFonts w:ascii="Calibri" w:hAnsi="Calibri" w:cs="Calibri"/>
                <w:sz w:val="22"/>
                <w:szCs w:val="22"/>
              </w:rPr>
            </w:pPr>
            <w:r>
              <w:rPr>
                <w:rFonts w:ascii="Calibri" w:hAnsi="Calibri" w:cs="Calibri"/>
                <w:sz w:val="22"/>
                <w:szCs w:val="22"/>
              </w:rPr>
              <w:t>Interview</w:t>
            </w:r>
          </w:p>
          <w:p w14:paraId="0DCD8C98" w14:textId="68477142" w:rsidR="00AF214D" w:rsidRPr="00242D05" w:rsidRDefault="00AF214D" w:rsidP="003B1487">
            <w:pPr>
              <w:pStyle w:val="ListParagraph"/>
              <w:numPr>
                <w:ilvl w:val="0"/>
                <w:numId w:val="15"/>
              </w:numPr>
              <w:ind w:left="215" w:hanging="283"/>
              <w:contextualSpacing/>
              <w:rPr>
                <w:rFonts w:ascii="Calibri" w:hAnsi="Calibri" w:cs="Calibri"/>
                <w:sz w:val="22"/>
                <w:szCs w:val="22"/>
              </w:rPr>
            </w:pPr>
            <w:r>
              <w:rPr>
                <w:rFonts w:ascii="Calibri" w:hAnsi="Calibri" w:cs="Calibri"/>
                <w:sz w:val="22"/>
                <w:szCs w:val="22"/>
              </w:rPr>
              <w:t xml:space="preserve">Professional </w:t>
            </w:r>
            <w:r w:rsidR="005F5603">
              <w:rPr>
                <w:rFonts w:ascii="Calibri" w:hAnsi="Calibri" w:cs="Calibri"/>
                <w:sz w:val="22"/>
                <w:szCs w:val="22"/>
              </w:rPr>
              <w:t>references</w:t>
            </w:r>
          </w:p>
        </w:tc>
      </w:tr>
    </w:tbl>
    <w:p w14:paraId="77ECC494" w14:textId="77777777" w:rsidR="006F1530" w:rsidRPr="00242D05" w:rsidRDefault="006F1530">
      <w:pPr>
        <w:rPr>
          <w:rFonts w:ascii="Calibri" w:hAnsi="Calibri" w:cs="Calibri"/>
        </w:rPr>
      </w:pPr>
    </w:p>
    <w:p w14:paraId="5F21F15B" w14:textId="77777777" w:rsidR="006F1530" w:rsidRDefault="006F1530"/>
    <w:sectPr w:rsidR="006F1530" w:rsidSect="00B2678B">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680" w:gutter="0"/>
      <w:pgBorders w:offsetFrom="page">
        <w:top w:val="single" w:sz="18" w:space="24" w:color="2E74B5" w:themeColor="accent1" w:themeShade="BF"/>
        <w:left w:val="single" w:sz="18" w:space="24" w:color="2E74B5" w:themeColor="accent1" w:themeShade="BF"/>
        <w:bottom w:val="single" w:sz="18" w:space="24" w:color="2E74B5" w:themeColor="accent1" w:themeShade="BF"/>
        <w:right w:val="single" w:sz="18"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4BA4" w14:textId="77777777" w:rsidR="002A4642" w:rsidRDefault="002A4642" w:rsidP="00F91CB5">
      <w:pPr>
        <w:spacing w:after="0" w:line="240" w:lineRule="auto"/>
      </w:pPr>
      <w:r>
        <w:separator/>
      </w:r>
    </w:p>
  </w:endnote>
  <w:endnote w:type="continuationSeparator" w:id="0">
    <w:p w14:paraId="6F962084" w14:textId="77777777" w:rsidR="002A4642" w:rsidRDefault="002A4642" w:rsidP="00F91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50E6" w14:textId="77777777" w:rsidR="003B164F" w:rsidRDefault="003B1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A128" w14:textId="77777777" w:rsidR="003B164F" w:rsidRDefault="003B1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0A63" w14:textId="77777777" w:rsidR="003B164F" w:rsidRDefault="003B1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39C2" w14:textId="77777777" w:rsidR="002A4642" w:rsidRDefault="002A4642" w:rsidP="00F91CB5">
      <w:pPr>
        <w:spacing w:after="0" w:line="240" w:lineRule="auto"/>
      </w:pPr>
      <w:r>
        <w:separator/>
      </w:r>
    </w:p>
  </w:footnote>
  <w:footnote w:type="continuationSeparator" w:id="0">
    <w:p w14:paraId="1A717E76" w14:textId="77777777" w:rsidR="002A4642" w:rsidRDefault="002A4642" w:rsidP="00F91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C241" w14:textId="77777777" w:rsidR="003B164F" w:rsidRDefault="003B1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E374" w14:textId="77777777" w:rsidR="003B164F" w:rsidRDefault="003B1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BD77" w14:textId="77777777" w:rsidR="003B164F" w:rsidRDefault="003B1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0C1"/>
    <w:multiLevelType w:val="hybridMultilevel"/>
    <w:tmpl w:val="91D66622"/>
    <w:lvl w:ilvl="0" w:tplc="08090001">
      <w:start w:val="1"/>
      <w:numFmt w:val="bullet"/>
      <w:lvlText w:val=""/>
      <w:lvlJc w:val="left"/>
      <w:pPr>
        <w:ind w:left="720" w:hanging="360"/>
      </w:pPr>
      <w:rPr>
        <w:rFonts w:ascii="Symbol" w:hAnsi="Symbol" w:hint="default"/>
      </w:rPr>
    </w:lvl>
    <w:lvl w:ilvl="1" w:tplc="B8AC51A6">
      <w:numFmt w:val="bullet"/>
      <w:lvlText w:val="·"/>
      <w:lvlJc w:val="left"/>
      <w:pPr>
        <w:ind w:left="1440" w:hanging="360"/>
      </w:pPr>
      <w:rPr>
        <w:rFonts w:ascii="MinionPro-Regular" w:eastAsia="Calibri" w:hAnsi="MinionPro-Regular"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B7706"/>
    <w:multiLevelType w:val="hybridMultilevel"/>
    <w:tmpl w:val="2092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746C6"/>
    <w:multiLevelType w:val="hybridMultilevel"/>
    <w:tmpl w:val="AA0C3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E6505"/>
    <w:multiLevelType w:val="hybridMultilevel"/>
    <w:tmpl w:val="9D4A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B4F8C"/>
    <w:multiLevelType w:val="hybridMultilevel"/>
    <w:tmpl w:val="17440AD0"/>
    <w:lvl w:ilvl="0" w:tplc="08090001">
      <w:start w:val="1"/>
      <w:numFmt w:val="bullet"/>
      <w:lvlText w:val=""/>
      <w:lvlJc w:val="left"/>
      <w:pPr>
        <w:ind w:left="360" w:hanging="360"/>
      </w:pPr>
      <w:rPr>
        <w:rFonts w:ascii="Symbol" w:hAnsi="Symbol" w:hint="default"/>
      </w:rPr>
    </w:lvl>
    <w:lvl w:ilvl="1" w:tplc="2AA8BCDE">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A54881"/>
    <w:multiLevelType w:val="hybridMultilevel"/>
    <w:tmpl w:val="60DEA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8C7351"/>
    <w:multiLevelType w:val="hybridMultilevel"/>
    <w:tmpl w:val="5E568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3F0B5A"/>
    <w:multiLevelType w:val="hybridMultilevel"/>
    <w:tmpl w:val="44BC3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D5555"/>
    <w:multiLevelType w:val="hybridMultilevel"/>
    <w:tmpl w:val="4D729994"/>
    <w:lvl w:ilvl="0" w:tplc="5AF4A8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C5E5B"/>
    <w:multiLevelType w:val="hybridMultilevel"/>
    <w:tmpl w:val="032ACD6C"/>
    <w:lvl w:ilvl="0" w:tplc="5AF4A86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590CBD"/>
    <w:multiLevelType w:val="hybridMultilevel"/>
    <w:tmpl w:val="CCF0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2C139F"/>
    <w:multiLevelType w:val="hybridMultilevel"/>
    <w:tmpl w:val="F0965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A40CAB"/>
    <w:multiLevelType w:val="hybridMultilevel"/>
    <w:tmpl w:val="D6306EBE"/>
    <w:lvl w:ilvl="0" w:tplc="4F5277D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83C56"/>
    <w:multiLevelType w:val="hybridMultilevel"/>
    <w:tmpl w:val="C1A45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76381F"/>
    <w:multiLevelType w:val="hybridMultilevel"/>
    <w:tmpl w:val="F4B2D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F14079"/>
    <w:multiLevelType w:val="hybridMultilevel"/>
    <w:tmpl w:val="CEC0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586266">
    <w:abstractNumId w:val="9"/>
  </w:num>
  <w:num w:numId="2" w16cid:durableId="170413461">
    <w:abstractNumId w:val="8"/>
  </w:num>
  <w:num w:numId="3" w16cid:durableId="616377626">
    <w:abstractNumId w:val="10"/>
  </w:num>
  <w:num w:numId="4" w16cid:durableId="88280942">
    <w:abstractNumId w:val="3"/>
  </w:num>
  <w:num w:numId="5" w16cid:durableId="216669852">
    <w:abstractNumId w:val="12"/>
  </w:num>
  <w:num w:numId="6" w16cid:durableId="330523390">
    <w:abstractNumId w:val="0"/>
  </w:num>
  <w:num w:numId="7" w16cid:durableId="2023555365">
    <w:abstractNumId w:val="4"/>
  </w:num>
  <w:num w:numId="8" w16cid:durableId="1502769393">
    <w:abstractNumId w:val="7"/>
  </w:num>
  <w:num w:numId="9" w16cid:durableId="1747871721">
    <w:abstractNumId w:val="6"/>
  </w:num>
  <w:num w:numId="10" w16cid:durableId="1306011787">
    <w:abstractNumId w:val="2"/>
  </w:num>
  <w:num w:numId="11" w16cid:durableId="2142379135">
    <w:abstractNumId w:val="14"/>
  </w:num>
  <w:num w:numId="12" w16cid:durableId="559824843">
    <w:abstractNumId w:val="5"/>
  </w:num>
  <w:num w:numId="13" w16cid:durableId="1809396120">
    <w:abstractNumId w:val="11"/>
  </w:num>
  <w:num w:numId="14" w16cid:durableId="1865510322">
    <w:abstractNumId w:val="15"/>
  </w:num>
  <w:num w:numId="15" w16cid:durableId="1600329016">
    <w:abstractNumId w:val="1"/>
  </w:num>
  <w:num w:numId="16" w16cid:durableId="1634360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FD3"/>
    <w:rsid w:val="000569DF"/>
    <w:rsid w:val="00092FD3"/>
    <w:rsid w:val="000B0E0E"/>
    <w:rsid w:val="000C639F"/>
    <w:rsid w:val="00131C6A"/>
    <w:rsid w:val="001C2743"/>
    <w:rsid w:val="001C631A"/>
    <w:rsid w:val="002037D2"/>
    <w:rsid w:val="00211744"/>
    <w:rsid w:val="00242D05"/>
    <w:rsid w:val="002558FA"/>
    <w:rsid w:val="00264FCD"/>
    <w:rsid w:val="0027279F"/>
    <w:rsid w:val="002847BE"/>
    <w:rsid w:val="002A4642"/>
    <w:rsid w:val="002E52ED"/>
    <w:rsid w:val="003458E2"/>
    <w:rsid w:val="00355FEC"/>
    <w:rsid w:val="00364FBB"/>
    <w:rsid w:val="00375149"/>
    <w:rsid w:val="003B1487"/>
    <w:rsid w:val="003B164F"/>
    <w:rsid w:val="0044339D"/>
    <w:rsid w:val="00464B56"/>
    <w:rsid w:val="00466A84"/>
    <w:rsid w:val="004B061D"/>
    <w:rsid w:val="004C32AA"/>
    <w:rsid w:val="00535226"/>
    <w:rsid w:val="005556FE"/>
    <w:rsid w:val="00564FEF"/>
    <w:rsid w:val="005A4FAC"/>
    <w:rsid w:val="005E067D"/>
    <w:rsid w:val="005F5603"/>
    <w:rsid w:val="00603DA0"/>
    <w:rsid w:val="006F1530"/>
    <w:rsid w:val="00705A71"/>
    <w:rsid w:val="00717173"/>
    <w:rsid w:val="0074638E"/>
    <w:rsid w:val="00751E91"/>
    <w:rsid w:val="007530B6"/>
    <w:rsid w:val="00754FEA"/>
    <w:rsid w:val="007B7CA0"/>
    <w:rsid w:val="007C1BCD"/>
    <w:rsid w:val="007E6CD6"/>
    <w:rsid w:val="007E7D04"/>
    <w:rsid w:val="00880AD5"/>
    <w:rsid w:val="00891300"/>
    <w:rsid w:val="008C583A"/>
    <w:rsid w:val="00935538"/>
    <w:rsid w:val="0097489D"/>
    <w:rsid w:val="009873FC"/>
    <w:rsid w:val="009A7D22"/>
    <w:rsid w:val="00A0414A"/>
    <w:rsid w:val="00A329F3"/>
    <w:rsid w:val="00A53D3F"/>
    <w:rsid w:val="00A54E43"/>
    <w:rsid w:val="00A80A6B"/>
    <w:rsid w:val="00AF214D"/>
    <w:rsid w:val="00AF28A5"/>
    <w:rsid w:val="00B064F3"/>
    <w:rsid w:val="00B2678B"/>
    <w:rsid w:val="00BB35C7"/>
    <w:rsid w:val="00BE7AC7"/>
    <w:rsid w:val="00C1108E"/>
    <w:rsid w:val="00C12E11"/>
    <w:rsid w:val="00C22ACC"/>
    <w:rsid w:val="00CA2AC6"/>
    <w:rsid w:val="00CC1626"/>
    <w:rsid w:val="00CC4DC6"/>
    <w:rsid w:val="00D20B0B"/>
    <w:rsid w:val="00D328E6"/>
    <w:rsid w:val="00D56751"/>
    <w:rsid w:val="00D63321"/>
    <w:rsid w:val="00D91659"/>
    <w:rsid w:val="00DB505E"/>
    <w:rsid w:val="00DE7814"/>
    <w:rsid w:val="00E525A2"/>
    <w:rsid w:val="00EE0334"/>
    <w:rsid w:val="00F6271D"/>
    <w:rsid w:val="00F85AAF"/>
    <w:rsid w:val="00F91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8B867"/>
  <w15:chartTrackingRefBased/>
  <w15:docId w15:val="{E70BE218-D030-43A1-AA7E-4A3DFB4B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FD3"/>
    <w:pPr>
      <w:spacing w:after="0" w:line="240" w:lineRule="auto"/>
      <w:ind w:left="720"/>
    </w:pPr>
    <w:rPr>
      <w:rFonts w:ascii="Arial" w:eastAsia="Times New Roman" w:hAnsi="Arial" w:cs="Times New Roman"/>
      <w:sz w:val="24"/>
      <w:szCs w:val="20"/>
    </w:rPr>
  </w:style>
  <w:style w:type="table" w:styleId="TableGrid">
    <w:name w:val="Table Grid"/>
    <w:basedOn w:val="TableNormal"/>
    <w:uiPriority w:val="39"/>
    <w:rsid w:val="00092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092FD3"/>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4"/>
      <w:szCs w:val="24"/>
      <w:lang w:eastAsia="en-GB"/>
    </w:rPr>
  </w:style>
  <w:style w:type="paragraph" w:styleId="Header">
    <w:name w:val="header"/>
    <w:basedOn w:val="Normal"/>
    <w:link w:val="HeaderChar"/>
    <w:uiPriority w:val="99"/>
    <w:unhideWhenUsed/>
    <w:rsid w:val="00F9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B5"/>
  </w:style>
  <w:style w:type="paragraph" w:styleId="Footer">
    <w:name w:val="footer"/>
    <w:basedOn w:val="Normal"/>
    <w:link w:val="FooterChar"/>
    <w:uiPriority w:val="99"/>
    <w:unhideWhenUsed/>
    <w:rsid w:val="00F91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B5"/>
  </w:style>
  <w:style w:type="character" w:styleId="SubtleEmphasis">
    <w:name w:val="Subtle Emphasis"/>
    <w:basedOn w:val="DefaultParagraphFont"/>
    <w:uiPriority w:val="19"/>
    <w:qFormat/>
    <w:rsid w:val="00355FEC"/>
    <w:rPr>
      <w:i/>
      <w:iCs/>
      <w:color w:val="404040" w:themeColor="text1" w:themeTint="BF"/>
    </w:rPr>
  </w:style>
  <w:style w:type="paragraph" w:styleId="NoSpacing">
    <w:name w:val="No Spacing"/>
    <w:uiPriority w:val="1"/>
    <w:qFormat/>
    <w:rsid w:val="00131C6A"/>
    <w:pPr>
      <w:spacing w:after="0" w:line="240" w:lineRule="auto"/>
    </w:pPr>
  </w:style>
  <w:style w:type="paragraph" w:customStyle="1" w:styleId="TableParagraph">
    <w:name w:val="Table Paragraph"/>
    <w:basedOn w:val="Normal"/>
    <w:uiPriority w:val="1"/>
    <w:qFormat/>
    <w:rsid w:val="00242D05"/>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5EF7AC435C6E13409254D9B1A3B2FF60" ma:contentTypeVersion="19" ma:contentTypeDescription="Create a new document." ma:contentTypeScope="" ma:versionID="c250ebb2dd36509464281108cdb01404">
  <xsd:schema xmlns:xsd="http://www.w3.org/2001/XMLSchema" xmlns:xs="http://www.w3.org/2001/XMLSchema" xmlns:p="http://schemas.microsoft.com/office/2006/metadata/properties" xmlns:ns2="9a7f5acb-a727-4946-a940-279a2f89cccc" xmlns:ns3="8df9ef4f-403c-4317-ab04-a1e90584b122" targetNamespace="http://schemas.microsoft.com/office/2006/metadata/properties" ma:root="true" ma:fieldsID="1a21918886ac74b69a6ab61548031681" ns2:_="" ns3:_="">
    <xsd:import namespace="9a7f5acb-a727-4946-a940-279a2f89cccc"/>
    <xsd:import namespace="8df9ef4f-403c-4317-ab04-a1e90584b1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5acb-a727-4946-a940-279a2f89ccc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502090f-032d-4bde-a3b7-345127cd6ca6}" ma:internalName="TaxCatchAll" ma:showField="CatchAllData" ma:web="9a7f5acb-a727-4946-a940-279a2f89cc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9ef4f-403c-4317-ab04-a1e90584b1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ae8d2cd-4b8e-43cb-8d65-ef620169c3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9a7f5acb-a727-4946-a940-279a2f89cccc" xsi:nil="true"/>
    <lcf76f155ced4ddcb4097134ff3c332f xmlns="8df9ef4f-403c-4317-ab04-a1e90584b122">
      <Terms xmlns="http://schemas.microsoft.com/office/infopath/2007/PartnerControls"/>
    </lcf76f155ced4ddcb4097134ff3c332f>
    <_dlc_DocId xmlns="9a7f5acb-a727-4946-a940-279a2f89cccc">YEWP3745ZJ25-696842413-125816</_dlc_DocId>
    <_dlc_DocIdUrl xmlns="9a7f5acb-a727-4946-a940-279a2f89cccc">
      <Url>https://beaconkent.sharepoint.com/sites/HRSharedDrive/_layouts/15/DocIdRedir.aspx?ID=YEWP3745ZJ25-696842413-125816</Url>
      <Description>YEWP3745ZJ25-696842413-125816</Description>
    </_dlc_DocIdUrl>
  </documentManagement>
</p:properties>
</file>

<file path=customXml/itemProps1.xml><?xml version="1.0" encoding="utf-8"?>
<ds:datastoreItem xmlns:ds="http://schemas.openxmlformats.org/officeDocument/2006/customXml" ds:itemID="{8155DC29-43BB-43C2-A7DA-DF179570D9FD}">
  <ds:schemaRefs>
    <ds:schemaRef ds:uri="http://schemas.microsoft.com/sharepoint/v3/contenttype/forms"/>
  </ds:schemaRefs>
</ds:datastoreItem>
</file>

<file path=customXml/itemProps2.xml><?xml version="1.0" encoding="utf-8"?>
<ds:datastoreItem xmlns:ds="http://schemas.openxmlformats.org/officeDocument/2006/customXml" ds:itemID="{C3BEE5A4-4D25-4743-A868-F6A2BD31AFB7}">
  <ds:schemaRefs>
    <ds:schemaRef ds:uri="http://schemas.openxmlformats.org/officeDocument/2006/bibliography"/>
  </ds:schemaRefs>
</ds:datastoreItem>
</file>

<file path=customXml/itemProps3.xml><?xml version="1.0" encoding="utf-8"?>
<ds:datastoreItem xmlns:ds="http://schemas.openxmlformats.org/officeDocument/2006/customXml" ds:itemID="{28091808-CA81-4406-9845-9442A2EF9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f5acb-a727-4946-a940-279a2f89cccc"/>
    <ds:schemaRef ds:uri="8df9ef4f-403c-4317-ab04-a1e90584b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B4438-7B82-4023-8E28-A9A3436AC09A}">
  <ds:schemaRefs>
    <ds:schemaRef ds:uri="http://schemas.microsoft.com/sharepoint/events"/>
  </ds:schemaRefs>
</ds:datastoreItem>
</file>

<file path=customXml/itemProps5.xml><?xml version="1.0" encoding="utf-8"?>
<ds:datastoreItem xmlns:ds="http://schemas.openxmlformats.org/officeDocument/2006/customXml" ds:itemID="{3105977B-D073-4B83-B044-555AC82A4F95}">
  <ds:schemaRefs>
    <ds:schemaRef ds:uri="http://schemas.microsoft.com/office/2006/metadata/properties"/>
    <ds:schemaRef ds:uri="http://schemas.microsoft.com/office/infopath/2007/PartnerControls"/>
    <ds:schemaRef ds:uri="9a7f5acb-a727-4946-a940-279a2f89cccc"/>
    <ds:schemaRef ds:uri="8df9ef4f-403c-4317-ab04-a1e90584b12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Beacon, Folkestone</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Gooding</dc:creator>
  <cp:keywords/>
  <dc:description/>
  <cp:lastModifiedBy>Sasha Gooding</cp:lastModifiedBy>
  <cp:revision>18</cp:revision>
  <cp:lastPrinted>2024-02-06T13:11:00Z</cp:lastPrinted>
  <dcterms:created xsi:type="dcterms:W3CDTF">2026-05-22T16:16:00Z</dcterms:created>
  <dcterms:modified xsi:type="dcterms:W3CDTF">2026-05-26T11:50:00Z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0x0101005EF7AC435C6E13409254D9B1A3B2FF60</vt:lpwstr>
  </property>
  <property fmtid="{D5CDD505-2E9C-101B-9397-08002B2CF9AE}" pid="3" name="MediaServiceImageTags">
    <vt:lpwstr/>
  </property>
  <property fmtid="{D5CDD505-2E9C-101B-9397-08002B2CF9AE}" pid="4" name="_dlc_DocIdItemGuid">
    <vt:lpwstr>772e079f-d762-4cb6-bbf0-00676d53d0f8</vt:lpwstr>
  </property>
</Properties>
</file>