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Teacher of Mathematics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vertAlign w:val="baseline"/>
          <w:rtl w:val="0"/>
        </w:rPr>
        <w:t xml:space="preserve">– Job 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20"/>
        <w:gridCol w:w="6750"/>
        <w:tblGridChange w:id="0">
          <w:tblGrid>
            <w:gridCol w:w="2820"/>
            <w:gridCol w:w="675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Job Title: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03030"/>
                <w:sz w:val="22"/>
                <w:szCs w:val="22"/>
                <w:highlight w:val="white"/>
                <w:rtl w:val="0"/>
              </w:rPr>
              <w:t xml:space="preserve">Teacher of Mathematics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Line Manager: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03030"/>
                <w:sz w:val="22"/>
                <w:szCs w:val="22"/>
                <w:highlight w:val="white"/>
                <w:rtl w:val="0"/>
              </w:rPr>
              <w:t xml:space="preserve">Head of Mathematics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Date: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September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Pay Range: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  <w:highlight w:val="whit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03030"/>
                <w:sz w:val="22"/>
                <w:szCs w:val="22"/>
                <w:highlight w:val="white"/>
                <w:rtl w:val="0"/>
              </w:rPr>
              <w:t xml:space="preserve">Main Pay Scale / Upper Pay Scale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color w:val="30303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>
          <w:rFonts w:ascii="Calibri" w:cs="Calibri" w:eastAsia="Calibri" w:hAnsi="Calibri"/>
          <w:color w:val="303030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1. Purpose of the Job </w:t>
      </w:r>
    </w:p>
    <w:p w:rsidR="00000000" w:rsidDel="00000000" w:rsidP="00000000" w:rsidRDefault="00000000" w:rsidRPr="00000000" w14:paraId="00000015">
      <w:pPr>
        <w:spacing w:line="276" w:lineRule="auto"/>
        <w:rPr>
          <w:rFonts w:ascii="Calibri" w:cs="Calibri" w:eastAsia="Calibri" w:hAnsi="Calibri"/>
          <w:color w:val="303030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The Teacher of Mathematics is an inspirational classroom practitioner accountable for the attainment and progress of all students within their assigned classes. The role focuses on creating a culture of mathematical literacy, logical reasoning, and academic excellence, ensuring that every student engages with a high-quality curriculum and exceeds their individual potential.</w:t>
      </w:r>
    </w:p>
    <w:p w:rsidR="00000000" w:rsidDel="00000000" w:rsidP="00000000" w:rsidRDefault="00000000" w:rsidRPr="00000000" w14:paraId="00000016">
      <w:pPr>
        <w:spacing w:line="276" w:lineRule="auto"/>
        <w:rPr>
          <w:rFonts w:ascii="Calibri" w:cs="Calibri" w:eastAsia="Calibri" w:hAnsi="Calibri"/>
          <w:color w:val="30303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>
          <w:rFonts w:ascii="Calibri" w:cs="Calibri" w:eastAsia="Calibri" w:hAnsi="Calibri"/>
          <w:color w:val="303030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2. Key Responsibilities Classroom Leadership and Departmental Culture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hd w:fill="ffffff" w:val="clear"/>
        <w:spacing w:after="0" w:afterAutospacing="0" w:line="276" w:lineRule="auto"/>
        <w:ind w:left="720" w:hanging="360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Articulate and uphold the school’s RHA values, developing a clear classroom identity and ethos that promotes inclusivity and excellence in mathematics.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hd w:fill="ffffff" w:val="clear"/>
        <w:spacing w:after="0" w:afterAutospacing="0" w:line="276" w:lineRule="auto"/>
        <w:ind w:left="720" w:hanging="360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Contribute to the production and review of the Mathematics Department Improvement Plan (DIP) to raise standards of attainment in core mathematics and examination subjects.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hd w:fill="ffffff" w:val="clear"/>
        <w:spacing w:after="180" w:line="276" w:lineRule="auto"/>
        <w:ind w:left="720" w:hanging="360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Lead by example with integrity, acting as a key representative of the school’s academic values for students and parents.</w:t>
      </w:r>
    </w:p>
    <w:p w:rsidR="00000000" w:rsidDel="00000000" w:rsidP="00000000" w:rsidRDefault="00000000" w:rsidRPr="00000000" w14:paraId="0000001B">
      <w:pPr>
        <w:spacing w:line="276" w:lineRule="auto"/>
        <w:rPr>
          <w:rFonts w:ascii="Calibri" w:cs="Calibri" w:eastAsia="Calibri" w:hAnsi="Calibri"/>
          <w:color w:val="303030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Monitoring and Progress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hd w:fill="ffffff" w:val="clear"/>
        <w:spacing w:after="0" w:afterAutospacing="0" w:line="276" w:lineRule="auto"/>
        <w:ind w:left="720" w:hanging="360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Use data analysis to monitor student progress in mathematics against benchmarks, identifying target groups for intervention to close gaps in achievement.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hd w:fill="ffffff" w:val="clear"/>
        <w:spacing w:after="180" w:line="276" w:lineRule="auto"/>
        <w:ind w:left="720" w:hanging="360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Maintain a high-quality learning experience within the classroom, ensuring high standards of teaching, learning, and assessment.</w:t>
      </w:r>
    </w:p>
    <w:p w:rsidR="00000000" w:rsidDel="00000000" w:rsidP="00000000" w:rsidRDefault="00000000" w:rsidRPr="00000000" w14:paraId="0000001E">
      <w:pPr>
        <w:spacing w:line="276" w:lineRule="auto"/>
        <w:rPr>
          <w:rFonts w:ascii="Calibri" w:cs="Calibri" w:eastAsia="Calibri" w:hAnsi="Calibri"/>
          <w:color w:val="303030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Behaviour and Engagement Management</w:t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shd w:fill="ffffff" w:val="clear"/>
        <w:spacing w:after="0" w:afterAutospacing="0" w:line="276" w:lineRule="auto"/>
        <w:ind w:left="720" w:hanging="360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Promote a positive attitude toward mathematics, ensuring high levels of engagement and effort across all key stages.</w:t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shd w:fill="ffffff" w:val="clear"/>
        <w:spacing w:after="0" w:afterAutospacing="0" w:line="276" w:lineRule="auto"/>
        <w:ind w:left="720" w:hanging="360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Oversee the consistent and fair application of the school’s Behaviour Policy, utilizing rewards to celebrate mathematical achievement and perseverance.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shd w:fill="ffffff" w:val="clear"/>
        <w:spacing w:after="0" w:afterAutospacing="0" w:line="276" w:lineRule="auto"/>
        <w:ind w:left="720" w:hanging="360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Pro-actively monitor student engagement, working to remove barriers to learning and celebrating students who demonstrate commitment to mathematical improvement.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shd w:fill="ffffff" w:val="clear"/>
        <w:spacing w:after="180" w:line="276" w:lineRule="auto"/>
        <w:ind w:left="720" w:hanging="360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Maintain a safe, well-ordered environment during lessons and departmental activities.</w:t>
      </w:r>
    </w:p>
    <w:p w:rsidR="00000000" w:rsidDel="00000000" w:rsidP="00000000" w:rsidRDefault="00000000" w:rsidRPr="00000000" w14:paraId="00000023">
      <w:pPr>
        <w:spacing w:line="276" w:lineRule="auto"/>
        <w:rPr>
          <w:rFonts w:ascii="Calibri" w:cs="Calibri" w:eastAsia="Calibri" w:hAnsi="Calibri"/>
          <w:color w:val="30303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rPr>
          <w:rFonts w:ascii="Calibri" w:cs="Calibri" w:eastAsia="Calibri" w:hAnsi="Calibri"/>
          <w:color w:val="30303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rPr>
          <w:rFonts w:ascii="Calibri" w:cs="Calibri" w:eastAsia="Calibri" w:hAnsi="Calibri"/>
          <w:color w:val="303030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Health, Safety, and Safeguarding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hd w:fill="ffffff" w:val="clear"/>
        <w:spacing w:after="0" w:afterAutospacing="0" w:line="276" w:lineRule="auto"/>
        <w:ind w:left="720" w:hanging="360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Take responsibility for health and safety within the classroom, ensuring the environment is compliant with school policies.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hd w:fill="ffffff" w:val="clear"/>
        <w:spacing w:after="0" w:afterAutospacing="0" w:line="276" w:lineRule="auto"/>
        <w:ind w:left="720" w:hanging="360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Ensure compliance with the Safeguarding Policy, maintaining professional standards at all times.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hd w:fill="ffffff" w:val="clear"/>
        <w:spacing w:after="180" w:line="276" w:lineRule="auto"/>
        <w:ind w:left="720" w:hanging="360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Ensure a clear commitment to the Equality Act 2010, ensuring the mathematics curriculum is accessible and provides equal opportunity for all students regardless of ability or background.</w:t>
      </w:r>
    </w:p>
    <w:p w:rsidR="00000000" w:rsidDel="00000000" w:rsidP="00000000" w:rsidRDefault="00000000" w:rsidRPr="00000000" w14:paraId="00000029">
      <w:pPr>
        <w:spacing w:line="276" w:lineRule="auto"/>
        <w:rPr>
          <w:rFonts w:ascii="Calibri" w:cs="Calibri" w:eastAsia="Calibri" w:hAnsi="Calibri"/>
          <w:color w:val="303030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Collaborative Leadership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hd w:fill="ffffff" w:val="clear"/>
        <w:spacing w:after="0" w:afterAutospacing="0" w:line="276" w:lineRule="auto"/>
        <w:ind w:left="720" w:hanging="360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Support the team of mathematics teachers, contributing to the delivery of a high-quality, diverse curriculum.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shd w:fill="ffffff" w:val="clear"/>
        <w:spacing w:after="180" w:line="276" w:lineRule="auto"/>
        <w:ind w:left="720" w:hanging="360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Engage in the management and appraisal process, seeking and providing feedback that recognizes good practice and improves student outcomes.</w:t>
      </w:r>
    </w:p>
    <w:p w:rsidR="00000000" w:rsidDel="00000000" w:rsidP="00000000" w:rsidRDefault="00000000" w:rsidRPr="00000000" w14:paraId="0000002C">
      <w:pPr>
        <w:spacing w:line="276" w:lineRule="auto"/>
        <w:rPr>
          <w:rFonts w:ascii="Calibri" w:cs="Calibri" w:eastAsia="Calibri" w:hAnsi="Calibri"/>
          <w:color w:val="30303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rPr>
          <w:rFonts w:ascii="Calibri" w:cs="Calibri" w:eastAsia="Calibri" w:hAnsi="Calibri"/>
          <w:color w:val="30303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rPr>
          <w:rFonts w:ascii="Calibri" w:cs="Calibri" w:eastAsia="Calibri" w:hAnsi="Calibri"/>
          <w:color w:val="303030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3. Person Specification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hd w:fill="ffffff" w:val="clear"/>
        <w:spacing w:after="0" w:afterAutospacing="0" w:line="276" w:lineRule="auto"/>
        <w:ind w:left="720" w:hanging="360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Qualified teacher status (QTS).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hd w:fill="ffffff" w:val="clear"/>
        <w:spacing w:after="0" w:afterAutospacing="0" w:line="276" w:lineRule="auto"/>
        <w:ind w:left="720" w:hanging="360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Proven record of successful teaching and learning within a secondary mathematics department.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hd w:fill="ffffff" w:val="clear"/>
        <w:spacing w:after="0" w:afterAutospacing="0" w:line="276" w:lineRule="auto"/>
        <w:ind w:left="720" w:hanging="360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Ability to deliver a strategic curriculum while maintaining a focus on student wellbeing and academic outcomes.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hd w:fill="ffffff" w:val="clear"/>
        <w:spacing w:after="0" w:afterAutospacing="0" w:line="276" w:lineRule="auto"/>
        <w:ind w:left="720" w:hanging="360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Excellent skills in working effectively with students and staff.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hd w:fill="ffffff" w:val="clear"/>
        <w:spacing w:after="0" w:afterAutospacing="0" w:line="276" w:lineRule="auto"/>
        <w:ind w:left="720" w:hanging="360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Deep understanding of how to use performance data to drive improvements in academic results.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hd w:fill="ffffff" w:val="clear"/>
        <w:spacing w:after="180" w:line="276" w:lineRule="auto"/>
        <w:ind w:left="720" w:hanging="360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A commitment to high professional standards and the school’s mission of "Persist".</w:t>
      </w:r>
    </w:p>
    <w:p w:rsidR="00000000" w:rsidDel="00000000" w:rsidP="00000000" w:rsidRDefault="00000000" w:rsidRPr="00000000" w14:paraId="00000035">
      <w:pPr>
        <w:spacing w:line="276" w:lineRule="auto"/>
        <w:rPr>
          <w:rFonts w:ascii="Calibri" w:cs="Calibri" w:eastAsia="Calibri" w:hAnsi="Calibri"/>
          <w:color w:val="30303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rPr>
          <w:rFonts w:ascii="Calibri" w:cs="Calibri" w:eastAsia="Calibri" w:hAnsi="Calibri"/>
          <w:color w:val="30303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rPr>
          <w:rFonts w:ascii="Calibri" w:cs="Calibri" w:eastAsia="Calibri" w:hAnsi="Calibri"/>
          <w:color w:val="303030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4. Specific Departmental Responsibilities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hd w:fill="ffffff" w:val="clear"/>
        <w:spacing w:after="0" w:afterAutospacing="0" w:line="276" w:lineRule="auto"/>
        <w:ind w:left="720" w:hanging="360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Participate in mathematics department meetings and contribute to the development of schemes of work.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shd w:fill="ffffff" w:val="clear"/>
        <w:spacing w:after="0" w:afterAutospacing="0" w:line="276" w:lineRule="auto"/>
        <w:ind w:left="720" w:hanging="360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Lead or support extra-curricular mathematics programs, such as UKMT Maths Challenges or mathematics clubs.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shd w:fill="ffffff" w:val="clear"/>
        <w:spacing w:after="0" w:afterAutospacing="0" w:line="276" w:lineRule="auto"/>
        <w:ind w:left="720" w:hanging="360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Support the organisation of whole-school events and academic enrichment days.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shd w:fill="ffffff" w:val="clear"/>
        <w:spacing w:after="180" w:line="276" w:lineRule="auto"/>
        <w:ind w:left="720" w:hanging="360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Effectively manage and oversee mathematics resources and equipment within the classroom.</w:t>
      </w:r>
    </w:p>
    <w:p w:rsidR="00000000" w:rsidDel="00000000" w:rsidP="00000000" w:rsidRDefault="00000000" w:rsidRPr="00000000" w14:paraId="0000003C">
      <w:pPr>
        <w:spacing w:line="276" w:lineRule="auto"/>
        <w:rPr>
          <w:rFonts w:ascii="Calibri" w:cs="Calibri" w:eastAsia="Calibri" w:hAnsi="Calibri"/>
          <w:color w:val="30303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rPr>
          <w:rFonts w:ascii="Calibri" w:cs="Calibri" w:eastAsia="Calibri" w:hAnsi="Calibri"/>
          <w:color w:val="30303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rPr>
          <w:rFonts w:ascii="Calibri" w:cs="Calibri" w:eastAsia="Calibri" w:hAnsi="Calibri"/>
          <w:color w:val="303030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03030"/>
          <w:sz w:val="22"/>
          <w:szCs w:val="22"/>
          <w:highlight w:val="white"/>
          <w:rtl w:val="0"/>
        </w:rPr>
        <w:t xml:space="preserve">Signature of Post Holder:</w:t>
      </w: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 __________________________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303030"/>
          <w:sz w:val="22"/>
          <w:szCs w:val="22"/>
          <w:highlight w:val="white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 __ / __ / ___</w:t>
      </w:r>
    </w:p>
    <w:p w:rsidR="00000000" w:rsidDel="00000000" w:rsidP="00000000" w:rsidRDefault="00000000" w:rsidRPr="00000000" w14:paraId="0000003F">
      <w:pPr>
        <w:spacing w:line="276" w:lineRule="auto"/>
        <w:rPr>
          <w:rFonts w:ascii="Calibri" w:cs="Calibri" w:eastAsia="Calibri" w:hAnsi="Calibri"/>
          <w:color w:val="303030"/>
          <w:sz w:val="21"/>
          <w:szCs w:val="2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03030"/>
          <w:sz w:val="22"/>
          <w:szCs w:val="22"/>
          <w:highlight w:val="white"/>
          <w:rtl w:val="0"/>
        </w:rPr>
        <w:t xml:space="preserve">Signature of Head of School:</w:t>
      </w: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 __________________________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303030"/>
          <w:sz w:val="22"/>
          <w:szCs w:val="22"/>
          <w:highlight w:val="white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 __ / __ / __</w:t>
      </w:r>
      <w:r w:rsidDel="00000000" w:rsidR="00000000" w:rsidRPr="00000000">
        <w:rPr>
          <w:rFonts w:ascii="Calibri" w:cs="Calibri" w:eastAsia="Calibri" w:hAnsi="Calibri"/>
          <w:color w:val="303030"/>
          <w:sz w:val="21"/>
          <w:szCs w:val="21"/>
          <w:highlight w:val="white"/>
          <w:rtl w:val="0"/>
        </w:rPr>
        <w:t xml:space="preserve">_</w:t>
      </w:r>
    </w:p>
    <w:p w:rsidR="00000000" w:rsidDel="00000000" w:rsidP="00000000" w:rsidRDefault="00000000" w:rsidRPr="00000000" w14:paraId="00000040">
      <w:pPr>
        <w:spacing w:line="276" w:lineRule="auto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76" w:lineRule="auto"/>
        <w:rPr>
          <w:rFonts w:ascii="Calibri" w:cs="Calibri" w:eastAsia="Calibri" w:hAnsi="Calibri"/>
          <w:color w:val="30303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7" w:orient="portrait"/>
      <w:pgMar w:bottom="645" w:top="900" w:left="1276" w:right="85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rPr>
        <w:b w:val="0"/>
        <w:bCs w:val="0"/>
        <w:sz w:val="44"/>
        <w:szCs w:val="44"/>
        <w:vertAlign w:val="baseline"/>
      </w:rPr>
    </w:pPr>
    <w:r w:rsidDel="00000000" w:rsidR="00000000" w:rsidRPr="00000000">
      <w:rPr>
        <w:b w:val="1"/>
        <w:bCs w:val="1"/>
        <w:sz w:val="44"/>
        <w:szCs w:val="44"/>
        <w:vertAlign w:val="baseline"/>
        <w:rtl w:val="0"/>
      </w:rPr>
      <w:t xml:space="preserve">The Royal Harbour Academy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</wp:posOffset>
          </wp:positionH>
          <wp:positionV relativeFrom="paragraph">
            <wp:posOffset>0</wp:posOffset>
          </wp:positionV>
          <wp:extent cx="1028700" cy="1409700"/>
          <wp:effectExtent b="0" l="0" r="0" t="0"/>
          <wp:wrapSquare wrapText="bothSides" distB="0" distT="0" distL="114300" distR="114300"/>
          <wp:docPr descr="RHA logo only A" id="1" name="image1.png"/>
          <a:graphic>
            <a:graphicData uri="http://schemas.openxmlformats.org/drawingml/2006/picture">
              <pic:pic>
                <pic:nvPicPr>
                  <pic:cNvPr descr="RHA logo only 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8700" cy="14097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color w:val="303030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color w:val="303030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color w:val="303030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color w:val="303030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color w:val="303030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color w:val="303030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color w:val="303030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b w:val="1"/>
      <w:bCs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b w:val="1"/>
      <w:bCs w:val="1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FhdlDGfHBlGK/4NqvlHiSx6oJA==">CgMxLjA4AHIhMUFrdXQ1X1ZRNFN6U2k4M21mTEZvZDlBTF96ZGY2UUxG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