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Head of Mathematics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vertAlign w:val="baseline"/>
          <w:rtl w:val="0"/>
        </w:rPr>
        <w:t xml:space="preserve">–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20"/>
        <w:gridCol w:w="6750"/>
        <w:tblGridChange w:id="0">
          <w:tblGrid>
            <w:gridCol w:w="2820"/>
            <w:gridCol w:w="67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Job Title: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Head of Mathematics</w:t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Line Manager: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Deputy Headteacher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Date: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September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Pay Range: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3030"/>
                <w:sz w:val="22"/>
                <w:szCs w:val="22"/>
                <w:highlight w:val="white"/>
                <w:rtl w:val="0"/>
              </w:rPr>
              <w:t xml:space="preserve">Main Pay Scale / Upper Pay Scale and CAT TLR 1A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1. Purpose of the Job 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The Head of Mathematics is an inspirational middle leader accountable for the attainment, progress, and participation of all students within the Mathematics department. The role focuses on creating a culture of mathematical literacy, logical reasoning, and academic excellence, ensuring that every student engages with a high-quality curriculum and exceeds their individual potential in all areas of mathematics.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2. Key Responsibilities Strategic Leadership and Departmental Culture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Articulate and uphold the school’s RHA values, developing a clear departmental identity and ethos that promotes inclusivity and excellence in mathematics.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Lead the production and review of the Mathematics Department Improvement Plan (DIP) to raise standards of attainment in core mathematics and examination subjects (e.g., GCSE Mathematics, A-Level Mathematics).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18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Lead by example with integrity, acting as a key representative of the school’s academic values for students, parents, and local educational partners.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Monitoring and Progress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Use data analysis to monitor student progress in Mathematics against benchmarks, identifying target groups for intervention to close gaps in achievement.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18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Monitor the quality of the learning experience within the department, ensuring high standards of teaching, learning, and assessment.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Behaviour and Participation Management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Promote a positive attitude toward mathematical inquiry, ensuring high levels of engagement and effort across all key stages.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Oversee the consistent and fair application of the school’s Behaviour Policy within the classroom, utilising rewards to celebrate mathematical achievement and perseverance.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Pro-actively monitor participation rates, working to remove barriers to engagement and celebrating students who demonstrate commitment to extra-curricular mathematics.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18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Lead the response to department-specific behaviour concerns and maintain a safe, well-ordered environment during lessons.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Health, Safety, and Safeguarding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Take responsibility for health and safety within the department, ensuring all risk assessments for classrooms and equipment are up to date and compliant.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Ensure compliance with the Safeguarding Policy.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18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Ensure a clear commitment to the Equality Act 2010, ensuring the Mathematics curriculum is accessible and provides equal opportunity for all students regardless of ability or background.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Staff Leadership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Lead and support the team of Mathematics teachers, ensuring the delivery of a high-quality, diverse curriculum.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18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Engage in the management and appraisal process for departmental staff, providing feedback that recognises good practice and improves student outcomes.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3. Person Specification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Qualified teacher status (QTS).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Proven record of successful leadership and management within a secondary Mathematics department.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Ability to lead the strategic development of a curriculum while maintaining a focus on student wellbeing and academic outcomes.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Excellent skills in working effectively with students, staff, and external academic agencies.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Deep understanding of how to use performance data to drive improvements in academic results.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18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A commitment to high professional standards and the school’s mission of "Persist".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4. Specific Departmental Responsibilities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Lead Mathematics department meetings and subject specific CPD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Oversee curriculum planning and the development of schemes of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Lead and coordinate the extra-curricular mathematics program, including competitions and academic clubs.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18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Oversee the procurement of mathematical equipment and resources.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--------------------------------------------------------------------------------</w:t>
      </w:r>
    </w:p>
    <w:p w:rsidR="00000000" w:rsidDel="00000000" w:rsidP="00000000" w:rsidRDefault="00000000" w:rsidRPr="00000000" w14:paraId="0000003D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Signature of Post Holder: __________________________ Date: __ / __ / ___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303030"/>
          <w:sz w:val="22"/>
          <w:szCs w:val="22"/>
          <w:highlight w:val="white"/>
          <w:rtl w:val="0"/>
        </w:rPr>
        <w:t xml:space="preserve">Signature of Head of School: __________________________ Date: __ / __ / ___</w:t>
      </w:r>
    </w:p>
    <w:p w:rsidR="00000000" w:rsidDel="00000000" w:rsidP="00000000" w:rsidRDefault="00000000" w:rsidRPr="00000000" w14:paraId="00000040">
      <w:pPr>
        <w:spacing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>
          <w:rFonts w:ascii="Calibri" w:cs="Calibri" w:eastAsia="Calibri" w:hAnsi="Calibri"/>
          <w:color w:val="303030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645" w:top="900" w:left="1276" w:right="85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>
        <w:b w:val="0"/>
        <w:bCs w:val="0"/>
        <w:sz w:val="44"/>
        <w:szCs w:val="44"/>
        <w:vertAlign w:val="baseline"/>
      </w:rPr>
    </w:pPr>
    <w:r w:rsidDel="00000000" w:rsidR="00000000" w:rsidRPr="00000000">
      <w:rPr>
        <w:b w:val="1"/>
        <w:bCs w:val="1"/>
        <w:sz w:val="44"/>
        <w:szCs w:val="44"/>
        <w:vertAlign w:val="baseline"/>
        <w:rtl w:val="0"/>
      </w:rPr>
      <w:t xml:space="preserve">The Royal Harbour Academy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</wp:posOffset>
          </wp:positionH>
          <wp:positionV relativeFrom="paragraph">
            <wp:posOffset>0</wp:posOffset>
          </wp:positionV>
          <wp:extent cx="1028700" cy="1409700"/>
          <wp:effectExtent b="0" l="0" r="0" t="0"/>
          <wp:wrapSquare wrapText="bothSides" distB="0" distT="0" distL="114300" distR="114300"/>
          <wp:docPr descr="RHA logo only A" id="1" name="image1.png"/>
          <a:graphic>
            <a:graphicData uri="http://schemas.openxmlformats.org/drawingml/2006/picture">
              <pic:pic>
                <pic:nvPicPr>
                  <pic:cNvPr descr="RHA logo only 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8700" cy="1409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color w:val="303030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color w:val="303030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color w:val="303030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color w:val="303030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color w:val="303030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color w:val="303030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color w:val="303030"/>
        <w:sz w:val="21"/>
        <w:szCs w:val="21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UGCceKM7Xd+yBm7EMrBTp/OSww==">CgMxLjA4AHIhMWVIdG4wNnBpQ2VIYVhQYWRzRHdjalNWQVVpc0pVbmpz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