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Teacher of Science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–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6750"/>
        <w:tblGridChange w:id="0">
          <w:tblGrid>
            <w:gridCol w:w="2820"/>
            <w:gridCol w:w="67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Job Title: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Teacher of Science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Line Manager: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 of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September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Pay Range: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2"/>
                <w:szCs w:val="22"/>
                <w:highlight w:val="white"/>
                <w:rtl w:val="0"/>
              </w:rPr>
              <w:t xml:space="preserve">Main Pay Scale / Upper Pay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1. Purpose of the Job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The Teacher of Science is an inspirational classroom practitioner accountable for the attainment, progress, and participation of all students within their assigned classes. The role focuses on creating a culture of scientific literacy, inquiry, and discovery, ensuring that every student engages with a high-quality curriculum and exceeds their individual potential in both practical and theoretical Science.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2. Key Responsibilities Strategic Leadership and Departmental Culture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Articulate and uphold the school’s RHA values, developing a clear classroom identity and ethos that promotes inclusivity and excellence in science.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Contribute to the production and review of the Science Department Improvement Plan (DIP) to raise standards of attainment in core Science and examination subjects (e.g., GCSE Combined Science, Triple Science, A-Level Science).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by example with integrity, acting as a key representative of the school’s scientific values for students, parents, and the wider academic community.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Monitoring and Progress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Use data analysis to monitor student progress in Science against benchmarks, identifying target groups for intervention to close gaps in achievement.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Maintain a high-quality learning experience within the classroom, ensuring high standards of teaching, learning, and assessment.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Behaviour and Participation Management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Promote a positive attitude toward scientific inquiry, ensuring high levels of engagement, safety compliance during practicals, and effort across all key stages.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Oversee the consistent and fair application of the school’s Behaviour Policy within a laboratory setting, utilizing rewards to celebrate scientific achievement and intellectual curiosity.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Pro-actively monitor participation rates in practical work, working to remove barriers to engagement and celebrating students who demonstrate commitment to extra-curricular STEM.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Maintain a safe, well-ordered environment during lessons, experiments, and departmental activities.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Health, Safety, and Safeguarding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Take responsibility for health and safety within the laboratory, ensuring all risk assessments for experiments and equipment are strictly followed and compliant.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Ensure compliance with the Safeguarding Policy, particularly regarding the supervision of students in specialised learning environments.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Ensure a clear commitment to the Equality Act 2010, ensuring the Science curriculum is accessible and provides equal opportunity for all students regardless of ability or background.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Staff Leadership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Support the team of Science teachers and technicians, contributing to the delivery of a high-quality, diverse curriculum.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Engage in the management and appraisal process, seeking and providing feedback that recognizes good practice and improves student outcomes.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3. Person Specification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Qualified teacher status (QTS).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Proven record of successful teaching and learning within a secondary Science department.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Ability to deliver a strategic curriculum while maintaining a focus on student wellbeing and academic outcomes.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Excellent skills in working effectively with students, staff, and external academic or industry partners.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Deep understanding of how to use performance data to drive improvements in both practical skills and examination results.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 commitment to high professional standards and the school’s mission of "Persist".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4. Specific Departmental Responsibilities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Participate in Science department meetings and contribute to the development of schemes of work.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Support and coordinate extra-curricular science programs, including STEM clubs, competitions, and visits.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Support the organisation of whole-school events, specifically British Science Week.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Effectively manage and oversee the use of laboratory equipment and resources.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Signature of Post Holder: __________________________ Date: __ / __ / ___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Signature of Head of School: __________________________ Date: __ / __ / ___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645" w:top="900" w:left="1276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>
        <w:b w:val="0"/>
        <w:bCs w:val="0"/>
        <w:sz w:val="44"/>
        <w:szCs w:val="44"/>
        <w:vertAlign w:val="baseline"/>
      </w:rPr>
    </w:pPr>
    <w:r w:rsidDel="00000000" w:rsidR="00000000" w:rsidRPr="00000000">
      <w:rPr>
        <w:b w:val="1"/>
        <w:bCs w:val="1"/>
        <w:sz w:val="44"/>
        <w:szCs w:val="44"/>
        <w:vertAlign w:val="baseline"/>
        <w:rtl w:val="0"/>
      </w:rPr>
      <w:t xml:space="preserve">The Royal Harbour Academy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0</wp:posOffset>
          </wp:positionV>
          <wp:extent cx="1028700" cy="1409700"/>
          <wp:effectExtent b="0" l="0" r="0" t="0"/>
          <wp:wrapSquare wrapText="bothSides" distB="0" distT="0" distL="114300" distR="114300"/>
          <wp:docPr descr="RHA logo only A" id="1" name="image1.png"/>
          <a:graphic>
            <a:graphicData uri="http://schemas.openxmlformats.org/drawingml/2006/picture">
              <pic:pic>
                <pic:nvPicPr>
                  <pic:cNvPr descr="RHA logo only 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rFN/bTERIf6XwhtPVWYooShPQ==">CgMxLjA4AHIhMXBkZUoxbEx1ZEEyUjFobTVTMUJtYTdBZ3Z3VjJyZUk0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