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ab/>
        <w:tab/>
      </w:r>
      <w:r w:rsidDel="00000000" w:rsidR="00000000" w:rsidRPr="00000000">
        <w:rPr>
          <w:rFonts w:ascii="Calibri" w:cs="Calibri" w:eastAsia="Calibri" w:hAnsi="Calibri"/>
          <w:b w:val="1"/>
          <w:bCs w:val="1"/>
          <w:sz w:val="28"/>
          <w:szCs w:val="28"/>
          <w:rtl w:val="0"/>
        </w:rPr>
        <w:t xml:space="preserve">Exams Access Arrangements Co-ordinator </w:t>
      </w:r>
      <w:r w:rsidDel="00000000" w:rsidR="00000000" w:rsidRPr="00000000">
        <w:rPr>
          <w:rtl w:val="0"/>
        </w:rPr>
      </w:r>
    </w:p>
    <w:p w:rsidR="00000000" w:rsidDel="00000000" w:rsidP="00000000" w:rsidRDefault="00000000" w:rsidRPr="00000000" w14:paraId="00000004">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6750"/>
        <w:tblGridChange w:id="0">
          <w:tblGrid>
            <w:gridCol w:w="2820"/>
            <w:gridCol w:w="6750"/>
          </w:tblGrid>
        </w:tblGridChange>
      </w:tblGrid>
      <w:tr>
        <w:trPr>
          <w:cantSplit w:val="0"/>
          <w:tblHeader w:val="0"/>
        </w:trPr>
        <w:tc>
          <w:tcPr>
            <w:vAlign w:val="top"/>
          </w:tcPr>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Job Title:</w:t>
            </w:r>
          </w:p>
        </w:tc>
        <w:tc>
          <w:tcPr>
            <w:vAlign w:val="top"/>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Exams Access Arrangements Co-ordinator (PT: 2 days per week)</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Manager:</w:t>
            </w:r>
          </w:p>
        </w:tc>
        <w:tc>
          <w:tcPr>
            <w:vAlign w:val="top"/>
          </w:tcPr>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SLT Member - Inclusion lead</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r>
          </w:p>
        </w:tc>
        <w:tc>
          <w:tcPr>
            <w:vAlign w:val="top"/>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September </w:t>
            </w:r>
            <w:r w:rsidDel="00000000" w:rsidR="00000000" w:rsidRPr="00000000">
              <w:rPr>
                <w:rFonts w:ascii="Calibri" w:cs="Calibri" w:eastAsia="Calibri" w:hAnsi="Calibri"/>
                <w:sz w:val="22"/>
                <w:szCs w:val="22"/>
                <w:vertAlign w:val="baseline"/>
                <w:rtl w:val="0"/>
              </w:rPr>
              <w:t xml:space="preserve">202</w:t>
            </w:r>
            <w:r w:rsidDel="00000000" w:rsidR="00000000" w:rsidRPr="00000000">
              <w:rPr>
                <w:rFonts w:ascii="Calibri" w:cs="Calibri" w:eastAsia="Calibri" w:hAnsi="Calibri"/>
                <w:sz w:val="22"/>
                <w:szCs w:val="22"/>
                <w:rtl w:val="0"/>
              </w:rPr>
              <w:t xml:space="preserve">6</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 Range:</w:t>
            </w:r>
          </w:p>
        </w:tc>
        <w:tc>
          <w:tcPr>
            <w:vAlign w:val="top"/>
          </w:tcPr>
          <w:p w:rsidR="00000000" w:rsidDel="00000000" w:rsidP="00000000" w:rsidRDefault="00000000" w:rsidRPr="00000000" w14:paraId="00000010">
            <w:pPr>
              <w:ind w:left="0" w:right="60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white"/>
                <w:rtl w:val="0"/>
              </w:rPr>
              <w:t xml:space="preserve">Support staff Grade 10 (</w:t>
            </w:r>
            <w:r w:rsidDel="00000000" w:rsidR="00000000" w:rsidRPr="00000000">
              <w:rPr>
                <w:rFonts w:ascii="Calibri" w:cs="Calibri" w:eastAsia="Calibri" w:hAnsi="Calibri"/>
                <w:sz w:val="22"/>
                <w:szCs w:val="22"/>
                <w:highlight w:val="white"/>
                <w:rtl w:val="0"/>
              </w:rPr>
              <w:t xml:space="preserve">Actual pay - </w:t>
            </w:r>
            <w:r w:rsidDel="00000000" w:rsidR="00000000" w:rsidRPr="00000000">
              <w:rPr>
                <w:rFonts w:ascii="Calibri" w:cs="Calibri" w:eastAsia="Calibri" w:hAnsi="Calibri"/>
                <w:sz w:val="22"/>
                <w:szCs w:val="22"/>
                <w:highlight w:val="white"/>
                <w:rtl w:val="0"/>
              </w:rPr>
              <w:t xml:space="preserve">£17029)</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 Purpose of the Job</w:t>
      </w:r>
    </w:p>
    <w:p w:rsidR="00000000" w:rsidDel="00000000" w:rsidP="00000000" w:rsidRDefault="00000000" w:rsidRPr="00000000" w14:paraId="00000015">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Exams Access Arrangement Co-ordinator is a specialist role responsible for the strategic management and administration of Access Arrangements for all internal and external examinations. The role focuses on ensuring that students with Special Educational Needs and Disabilities (SEND) or temporary injuries have the appropriate support to access assessments, ensuring the school remains compliant with Joint Council for Qualifications (JCQ) regulations and that every student can achieve their individual potential.</w:t>
      </w:r>
    </w:p>
    <w:p w:rsidR="00000000" w:rsidDel="00000000" w:rsidP="00000000" w:rsidRDefault="00000000" w:rsidRPr="00000000" w14:paraId="00000016">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18">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 Key Responsibilities</w:t>
      </w:r>
    </w:p>
    <w:p w:rsidR="00000000" w:rsidDel="00000000" w:rsidP="00000000" w:rsidRDefault="00000000" w:rsidRPr="00000000" w14:paraId="0000001A">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Strategic Coordination and Compliance</w:t>
      </w:r>
    </w:p>
    <w:p w:rsidR="00000000" w:rsidDel="00000000" w:rsidP="00000000" w:rsidRDefault="00000000" w:rsidRPr="00000000" w14:paraId="0000001B">
      <w:pPr>
        <w:numPr>
          <w:ilvl w:val="0"/>
          <w:numId w:val="4"/>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Articulate and uphold the school’s values, ensuring that access arrangements are integrated into the school’s inclusive culture.</w:t>
      </w:r>
    </w:p>
    <w:p w:rsidR="00000000" w:rsidDel="00000000" w:rsidP="00000000" w:rsidRDefault="00000000" w:rsidRPr="00000000" w14:paraId="0000001C">
      <w:pPr>
        <w:numPr>
          <w:ilvl w:val="0"/>
          <w:numId w:val="4"/>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Lead the identification of students requiring access arrangements through data analysis and liaison with the SENDCo and teaching staff.</w:t>
      </w:r>
    </w:p>
    <w:p w:rsidR="00000000" w:rsidDel="00000000" w:rsidP="00000000" w:rsidRDefault="00000000" w:rsidRPr="00000000" w14:paraId="0000001D">
      <w:pPr>
        <w:numPr>
          <w:ilvl w:val="0"/>
          <w:numId w:val="4"/>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Ensure full compliance with the latest JCQ "Adjustments for candidates with disabilities and learning difficulties" regulations.</w:t>
      </w:r>
    </w:p>
    <w:p w:rsidR="00000000" w:rsidDel="00000000" w:rsidP="00000000" w:rsidRDefault="00000000" w:rsidRPr="00000000" w14:paraId="0000001E">
      <w:pPr>
        <w:numPr>
          <w:ilvl w:val="0"/>
          <w:numId w:val="4"/>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Maintain the school’s access arrangements register, ensuring it is accurate and up-to-date for audit purposes.</w:t>
      </w:r>
    </w:p>
    <w:p w:rsidR="00000000" w:rsidDel="00000000" w:rsidP="00000000" w:rsidRDefault="00000000" w:rsidRPr="00000000" w14:paraId="0000001F">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Assessment and Evidence Management</w:t>
      </w:r>
    </w:p>
    <w:p w:rsidR="00000000" w:rsidDel="00000000" w:rsidP="00000000" w:rsidRDefault="00000000" w:rsidRPr="00000000" w14:paraId="00000020">
      <w:pPr>
        <w:numPr>
          <w:ilvl w:val="0"/>
          <w:numId w:val="6"/>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Coordinate and/or carry out formal assessments for access arrangements (e.g., Form 8), ensuring they are completed within regulatory deadlines.</w:t>
      </w:r>
    </w:p>
    <w:p w:rsidR="00000000" w:rsidDel="00000000" w:rsidP="00000000" w:rsidRDefault="00000000" w:rsidRPr="00000000" w14:paraId="00000021">
      <w:pPr>
        <w:numPr>
          <w:ilvl w:val="0"/>
          <w:numId w:val="6"/>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Pro-actively gather and file "evidence of need" and "normal way of working" from subject teachers to support applications.</w:t>
      </w:r>
    </w:p>
    <w:p w:rsidR="00000000" w:rsidDel="00000000" w:rsidP="00000000" w:rsidRDefault="00000000" w:rsidRPr="00000000" w14:paraId="00000022">
      <w:pPr>
        <w:numPr>
          <w:ilvl w:val="0"/>
          <w:numId w:val="6"/>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Manage the application process through the Access Arrangements Online (AAO) portal, ensuring all approvals are secured before examination series.</w:t>
      </w:r>
    </w:p>
    <w:p w:rsidR="00000000" w:rsidDel="00000000" w:rsidP="00000000" w:rsidRDefault="00000000" w:rsidRPr="00000000" w14:paraId="00000023">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Communication and Liaison</w:t>
      </w:r>
    </w:p>
    <w:p w:rsidR="00000000" w:rsidDel="00000000" w:rsidP="00000000" w:rsidRDefault="00000000" w:rsidRPr="00000000" w14:paraId="00000024">
      <w:pPr>
        <w:numPr>
          <w:ilvl w:val="0"/>
          <w:numId w:val="5"/>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Act as a key point of contact for students, parents, and external agencies regarding access arrangement requirements and outcomes.</w:t>
      </w:r>
    </w:p>
    <w:p w:rsidR="00000000" w:rsidDel="00000000" w:rsidP="00000000" w:rsidRDefault="00000000" w:rsidRPr="00000000" w14:paraId="00000025">
      <w:pPr>
        <w:numPr>
          <w:ilvl w:val="0"/>
          <w:numId w:val="5"/>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Work closely with the Exams Officer to ensure the practical implementation of arrangements, such as the booking of separate rooms, invigilators, and technology.</w:t>
      </w:r>
    </w:p>
    <w:p w:rsidR="00000000" w:rsidDel="00000000" w:rsidP="00000000" w:rsidRDefault="00000000" w:rsidRPr="00000000" w14:paraId="00000026">
      <w:pPr>
        <w:numPr>
          <w:ilvl w:val="0"/>
          <w:numId w:val="5"/>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Attend relevant meetings to triangulate support for students of concern and ensure their assessment needs are met.</w:t>
      </w:r>
    </w:p>
    <w:p w:rsidR="00000000" w:rsidDel="00000000" w:rsidP="00000000" w:rsidRDefault="00000000" w:rsidRPr="00000000" w14:paraId="00000027">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Administrative Oversight</w:t>
      </w:r>
    </w:p>
    <w:p w:rsidR="00000000" w:rsidDel="00000000" w:rsidP="00000000" w:rsidRDefault="00000000" w:rsidRPr="00000000" w14:paraId="00000028">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Ensure a clear commitment to the Equality Act 2010, advancing equality by removing barriers to assessment for disadvantaged students.</w:t>
      </w:r>
    </w:p>
    <w:p w:rsidR="00000000" w:rsidDel="00000000" w:rsidP="00000000" w:rsidRDefault="00000000" w:rsidRPr="00000000" w14:paraId="00000029">
      <w:pPr>
        <w:numPr>
          <w:ilvl w:val="0"/>
          <w:numId w:val="1"/>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Organize and oversee the distribution of access arrangement information to invigilators and teaching staff for mock and formal exams.</w:t>
      </w:r>
    </w:p>
    <w:p w:rsidR="00000000" w:rsidDel="00000000" w:rsidP="00000000" w:rsidRDefault="00000000" w:rsidRPr="00000000" w14:paraId="0000002A">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B">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2C">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 Person Specification</w:t>
      </w:r>
    </w:p>
    <w:p w:rsidR="00000000" w:rsidDel="00000000" w:rsidP="00000000" w:rsidRDefault="00000000" w:rsidRPr="00000000" w14:paraId="0000002E">
      <w:pPr>
        <w:numPr>
          <w:ilvl w:val="0"/>
          <w:numId w:val="3"/>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Level 7 qualification in individual assessment for access arrangements (or equivalent) is highly desirable. The school would be happy to put the right candidate on training to achieve suitable qualification.</w:t>
      </w:r>
    </w:p>
    <w:p w:rsidR="00000000" w:rsidDel="00000000" w:rsidP="00000000" w:rsidRDefault="00000000" w:rsidRPr="00000000" w14:paraId="0000002F">
      <w:pPr>
        <w:numPr>
          <w:ilvl w:val="0"/>
          <w:numId w:val="3"/>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Proven experience in a school setting, ideally within an Exams or SEND department.</w:t>
      </w:r>
    </w:p>
    <w:p w:rsidR="00000000" w:rsidDel="00000000" w:rsidP="00000000" w:rsidRDefault="00000000" w:rsidRPr="00000000" w14:paraId="00000030">
      <w:pPr>
        <w:numPr>
          <w:ilvl w:val="0"/>
          <w:numId w:val="3"/>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Deep understanding of JCQ regulations and the legal frameworks surrounding the Equality Act 2010.</w:t>
      </w:r>
    </w:p>
    <w:p w:rsidR="00000000" w:rsidDel="00000000" w:rsidP="00000000" w:rsidRDefault="00000000" w:rsidRPr="00000000" w14:paraId="00000031">
      <w:pPr>
        <w:numPr>
          <w:ilvl w:val="0"/>
          <w:numId w:val="3"/>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Excellent organisational skills and the ability to work effectively with students, staff, and parents.</w:t>
      </w:r>
    </w:p>
    <w:p w:rsidR="00000000" w:rsidDel="00000000" w:rsidP="00000000" w:rsidRDefault="00000000" w:rsidRPr="00000000" w14:paraId="00000032">
      <w:pPr>
        <w:numPr>
          <w:ilvl w:val="0"/>
          <w:numId w:val="3"/>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High professional standards and a commitment to the school’s mission and ethos.</w:t>
      </w:r>
    </w:p>
    <w:p w:rsidR="00000000" w:rsidDel="00000000" w:rsidP="00000000" w:rsidRDefault="00000000" w:rsidRPr="00000000" w14:paraId="00000033">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35">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 Role-Specific Tasks</w:t>
      </w:r>
    </w:p>
    <w:p w:rsidR="00000000" w:rsidDel="00000000" w:rsidP="00000000" w:rsidRDefault="00000000" w:rsidRPr="00000000" w14:paraId="00000037">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Lead the preparation for JCQ inspections regarding access arrangement documentation.</w:t>
      </w:r>
    </w:p>
    <w:p w:rsidR="00000000" w:rsidDel="00000000" w:rsidP="00000000" w:rsidRDefault="00000000" w:rsidRPr="00000000" w14:paraId="00000038">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Provide training or guidance to teaching staff on identifying students who may require assessment.</w:t>
      </w:r>
    </w:p>
    <w:p w:rsidR="00000000" w:rsidDel="00000000" w:rsidP="00000000" w:rsidRDefault="00000000" w:rsidRPr="00000000" w14:paraId="00000039">
      <w:pPr>
        <w:numPr>
          <w:ilvl w:val="0"/>
          <w:numId w:val="2"/>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Attend relevant events such as KS4 parents' evenings, to discuss access arrangement provisions.</w:t>
      </w:r>
    </w:p>
    <w:p w:rsidR="00000000" w:rsidDel="00000000" w:rsidP="00000000" w:rsidRDefault="00000000" w:rsidRPr="00000000" w14:paraId="0000003A">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3C">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Signature of Post Holder: __________________________ Date:__ /__ /___ </w:t>
      </w:r>
    </w:p>
    <w:p w:rsidR="00000000" w:rsidDel="00000000" w:rsidP="00000000" w:rsidRDefault="00000000" w:rsidRPr="00000000" w14:paraId="0000003E">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Signature of Head of School: __________________________ Date: __ /__/___</w:t>
      </w:r>
    </w:p>
    <w:p w:rsidR="00000000" w:rsidDel="00000000" w:rsidP="00000000" w:rsidRDefault="00000000" w:rsidRPr="00000000" w14:paraId="0000003F">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color w:val="303030"/>
          <w:sz w:val="22"/>
          <w:szCs w:val="22"/>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645" w:top="900" w:left="1276"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b w:val="0"/>
        <w:bCs w:val="0"/>
        <w:sz w:val="44"/>
        <w:szCs w:val="44"/>
        <w:vertAlign w:val="baseline"/>
      </w:rPr>
    </w:pPr>
    <w:r w:rsidDel="00000000" w:rsidR="00000000" w:rsidRPr="00000000">
      <w:rPr>
        <w:b w:val="1"/>
        <w:bCs w:val="1"/>
        <w:sz w:val="44"/>
        <w:szCs w:val="44"/>
        <w:vertAlign w:val="baseline"/>
        <w:rtl w:val="0"/>
      </w:rPr>
      <w:t xml:space="preserve">The Royal Harbour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028700" cy="1409700"/>
          <wp:effectExtent b="0" l="0" r="0" t="0"/>
          <wp:wrapSquare wrapText="bothSides" distB="0" distT="0" distL="114300" distR="114300"/>
          <wp:docPr descr="RHA logo only A" id="6" name="image1.png"/>
          <a:graphic>
            <a:graphicData uri="http://schemas.openxmlformats.org/drawingml/2006/picture">
              <pic:pic>
                <pic:nvPicPr>
                  <pic:cNvPr descr="RHA logo only A" id="0" name="image1.png"/>
                  <pic:cNvPicPr preferRelativeResize="0"/>
                </pic:nvPicPr>
                <pic:blipFill>
                  <a:blip r:embed="rId1"/>
                  <a:srcRect b="0" l="0" r="0" t="0"/>
                  <a:stretch>
                    <a:fillRect/>
                  </a:stretch>
                </pic:blipFill>
                <pic:spPr>
                  <a:xfrm>
                    <a:off x="0" y="0"/>
                    <a:ext cx="1028700" cy="1409700"/>
                  </a:xfrm>
                  <a:prstGeom prst="rect"/>
                  <a:ln/>
                </pic:spPr>
              </pic:pic>
            </a:graphicData>
          </a:graphic>
        </wp:anchor>
      </w:drawing>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PageNumber">
    <w:name w:val="Page Number"/>
    <w:next w:val="PageNumbe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4"/>
      <w:effect w:val="none"/>
      <w:vertAlign w:val="baseline"/>
      <w:cs w:val="0"/>
      <w:em w:val="none"/>
      <w:lang/>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hSRGvwFmUqywDujMFq1DGpjA==">CgMxLjA4AHIhMVJoRkh6NjVPY2JicklRUDlIN1d6U0pEX2xiNWpnM2NI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2022-05-05T11:55:00Z</dcterms:created>
  <dc:creator>Ann  Lewis</dc:creator>
</cp:coreProperties>
</file>