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line="259" w:lineRule="auto"/>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JOB DESCRIPTION</w:t>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7290"/>
        <w:tblGridChange w:id="0">
          <w:tblGrid>
            <w:gridCol w:w="2490"/>
            <w:gridCol w:w="7290"/>
          </w:tblGrid>
        </w:tblGridChange>
      </w:tblGrid>
      <w:tr>
        <w:trPr>
          <w:cantSplit w:val="0"/>
          <w:tblHeader w:val="0"/>
        </w:trPr>
        <w:tc>
          <w:tcPr>
            <w:shd w:fill="cfe2f3" w:val="clear"/>
          </w:tcPr>
          <w:p w:rsidR="00000000" w:rsidDel="00000000" w:rsidP="00000000" w:rsidRDefault="00000000" w:rsidRPr="00000000" w14:paraId="00000002">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Job Title:</w:t>
            </w:r>
          </w:p>
          <w:p w:rsidR="00000000" w:rsidDel="00000000" w:rsidP="00000000" w:rsidRDefault="00000000" w:rsidRPr="00000000" w14:paraId="00000003">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4">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Teaching Assistant (TA)</w:t>
            </w:r>
          </w:p>
        </w:tc>
      </w:tr>
      <w:tr>
        <w:trPr>
          <w:cantSplit w:val="0"/>
          <w:tblHeader w:val="0"/>
        </w:trPr>
        <w:tc>
          <w:tcPr>
            <w:shd w:fill="cfe2f3" w:val="clear"/>
          </w:tcPr>
          <w:p w:rsidR="00000000" w:rsidDel="00000000" w:rsidP="00000000" w:rsidRDefault="00000000" w:rsidRPr="00000000" w14:paraId="00000005">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School:</w:t>
            </w:r>
          </w:p>
          <w:p w:rsidR="00000000" w:rsidDel="00000000" w:rsidP="00000000" w:rsidRDefault="00000000" w:rsidRPr="00000000" w14:paraId="00000006">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7">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Horizon Primary Academy, </w:t>
            </w:r>
          </w:p>
        </w:tc>
      </w:tr>
      <w:tr>
        <w:trPr>
          <w:cantSplit w:val="0"/>
          <w:tblHeader w:val="0"/>
        </w:trPr>
        <w:tc>
          <w:tcPr>
            <w:shd w:fill="cfe2f3" w:val="clear"/>
          </w:tcPr>
          <w:p w:rsidR="00000000" w:rsidDel="00000000" w:rsidP="00000000" w:rsidRDefault="00000000" w:rsidRPr="00000000" w14:paraId="00000008">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Location:</w:t>
            </w:r>
          </w:p>
          <w:p w:rsidR="00000000" w:rsidDel="00000000" w:rsidP="00000000" w:rsidRDefault="00000000" w:rsidRPr="00000000" w14:paraId="00000009">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A">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Hilda May Avenue, Hilda May Avenue, Swanley, Kent, BR8 7BT</w:t>
            </w:r>
          </w:p>
        </w:tc>
      </w:tr>
      <w:tr>
        <w:trPr>
          <w:cantSplit w:val="0"/>
          <w:tblHeader w:val="0"/>
        </w:trPr>
        <w:tc>
          <w:tcPr>
            <w:shd w:fill="cfe2f3" w:val="clear"/>
          </w:tcPr>
          <w:p w:rsidR="00000000" w:rsidDel="00000000" w:rsidP="00000000" w:rsidRDefault="00000000" w:rsidRPr="00000000" w14:paraId="0000000B">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Reporting To:</w:t>
            </w:r>
          </w:p>
          <w:p w:rsidR="00000000" w:rsidDel="00000000" w:rsidP="00000000" w:rsidRDefault="00000000" w:rsidRPr="00000000" w14:paraId="0000000C">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D">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w:t>
            </w:r>
          </w:p>
        </w:tc>
      </w:tr>
      <w:tr>
        <w:trPr>
          <w:cantSplit w:val="0"/>
          <w:tblHeader w:val="0"/>
        </w:trPr>
        <w:tc>
          <w:tcPr>
            <w:shd w:fill="cfe2f3" w:val="clear"/>
          </w:tcPr>
          <w:p w:rsidR="00000000" w:rsidDel="00000000" w:rsidP="00000000" w:rsidRDefault="00000000" w:rsidRPr="00000000" w14:paraId="0000000E">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Key Internal Relationships:</w:t>
            </w:r>
          </w:p>
        </w:tc>
        <w:tc>
          <w:tcPr>
            <w:vAlign w:val="center"/>
          </w:tcPr>
          <w:p w:rsidR="00000000" w:rsidDel="00000000" w:rsidP="00000000" w:rsidRDefault="00000000" w:rsidRPr="00000000" w14:paraId="0000000F">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SLT, Teaching and Support Staff, Trust HQ, other TKAT schools</w:t>
            </w:r>
          </w:p>
        </w:tc>
      </w:tr>
      <w:tr>
        <w:trPr>
          <w:cantSplit w:val="0"/>
          <w:trHeight w:val="220" w:hRule="atLeast"/>
          <w:tblHeader w:val="0"/>
        </w:trPr>
        <w:tc>
          <w:tcPr>
            <w:gridSpan w:val="2"/>
          </w:tcPr>
          <w:p w:rsidR="00000000" w:rsidDel="00000000" w:rsidP="00000000" w:rsidRDefault="00000000" w:rsidRPr="00000000" w14:paraId="00000010">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Our Commitment</w:t>
            </w:r>
          </w:p>
          <w:p w:rsidR="00000000" w:rsidDel="00000000" w:rsidP="00000000" w:rsidRDefault="00000000" w:rsidRPr="00000000" w14:paraId="00000011">
            <w:pPr>
              <w:rPr>
                <w:rFonts w:ascii="Avenir" w:cs="Avenir" w:eastAsia="Avenir" w:hAnsi="Avenir"/>
                <w:color w:val="434343"/>
              </w:rPr>
            </w:pPr>
            <w:r w:rsidDel="00000000" w:rsidR="00000000" w:rsidRPr="00000000">
              <w:rPr>
                <w:rFonts w:ascii="Avenir" w:cs="Avenir" w:eastAsia="Avenir" w:hAnsi="Avenir"/>
                <w:color w:val="434343"/>
                <w:rtl w:val="0"/>
              </w:rPr>
              <w:t xml:space="preserve">Be Who You Are at TKAT - This Job Description represents the role as we see it in its entirety.</w:t>
            </w:r>
          </w:p>
          <w:p w:rsidR="00000000" w:rsidDel="00000000" w:rsidP="00000000" w:rsidRDefault="00000000" w:rsidRPr="00000000" w14:paraId="00000012">
            <w:pPr>
              <w:rPr>
                <w:rFonts w:ascii="Avenir" w:cs="Avenir" w:eastAsia="Avenir" w:hAnsi="Avenir"/>
                <w:color w:val="434343"/>
              </w:rPr>
            </w:pPr>
            <w:r w:rsidDel="00000000" w:rsidR="00000000" w:rsidRPr="00000000">
              <w:rPr>
                <w:rFonts w:ascii="Avenir" w:cs="Avenir" w:eastAsia="Avenir" w:hAnsi="Avenir"/>
                <w:color w:val="434343"/>
                <w:rtl w:val="0"/>
              </w:rPr>
              <w:t xml:space="preserve">We do not expect candidates to have in-depth experience of every element on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3">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14">
            <w:pPr>
              <w:shd w:fill="ffffff" w:val="clear"/>
              <w:spacing w:after="30" w:lineRule="auto"/>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r w:rsidDel="00000000" w:rsidR="00000000" w:rsidRPr="00000000">
              <w:rPr>
                <w:rFonts w:ascii="Avenir" w:cs="Avenir" w:eastAsia="Avenir" w:hAnsi="Avenir"/>
                <w:color w:val="434343"/>
                <w:rtl w:val="0"/>
              </w:rPr>
              <w:br w:type="textWrapping"/>
              <w:br w:type="textWrapping"/>
            </w:r>
            <w:r w:rsidDel="00000000" w:rsidR="00000000" w:rsidRPr="00000000">
              <w:rPr>
                <w:rFonts w:ascii="Avenir" w:cs="Avenir" w:eastAsia="Avenir" w:hAnsi="Avenir"/>
                <w:color w:val="434343"/>
                <w:highlight w:val="white"/>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6">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Job Purpose</w:t>
            </w:r>
          </w:p>
          <w:p w:rsidR="00000000" w:rsidDel="00000000" w:rsidP="00000000" w:rsidRDefault="00000000" w:rsidRPr="00000000" w14:paraId="00000017">
            <w:pPr>
              <w:shd w:fill="ffffff" w:val="clear"/>
              <w:spacing w:after="150" w:before="200" w:lineRule="auto"/>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The Teaching Assistant (TA) will:</w:t>
            </w:r>
          </w:p>
          <w:p w:rsidR="00000000" w:rsidDel="00000000" w:rsidP="00000000" w:rsidRDefault="00000000" w:rsidRPr="00000000" w14:paraId="00000018">
            <w:pPr>
              <w:numPr>
                <w:ilvl w:val="0"/>
                <w:numId w:val="4"/>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Work with the class teachers to raise the learning and attainment of pupils.</w:t>
            </w:r>
          </w:p>
          <w:p w:rsidR="00000000" w:rsidDel="00000000" w:rsidP="00000000" w:rsidRDefault="00000000" w:rsidRPr="00000000" w14:paraId="00000019">
            <w:pPr>
              <w:numPr>
                <w:ilvl w:val="0"/>
                <w:numId w:val="4"/>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Promote pupils independence, self-esteem and social inclusion.</w:t>
            </w:r>
          </w:p>
          <w:p w:rsidR="00000000" w:rsidDel="00000000" w:rsidP="00000000" w:rsidRDefault="00000000" w:rsidRPr="00000000" w14:paraId="0000001A">
            <w:pPr>
              <w:numPr>
                <w:ilvl w:val="0"/>
                <w:numId w:val="4"/>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Give support to pupils, individually or in groups, so they can access the curriculum, take part in learning, and experience a sense of achievement. </w:t>
            </w:r>
          </w:p>
          <w:p w:rsidR="00000000" w:rsidDel="00000000" w:rsidP="00000000" w:rsidRDefault="00000000" w:rsidRPr="00000000" w14:paraId="0000001B">
            <w:pPr>
              <w:numPr>
                <w:ilvl w:val="0"/>
                <w:numId w:val="4"/>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Be responsible for ensuring equality of opportunity for all.</w:t>
            </w:r>
          </w:p>
          <w:p w:rsidR="00000000" w:rsidDel="00000000" w:rsidP="00000000" w:rsidRDefault="00000000" w:rsidRPr="00000000" w14:paraId="0000001C">
            <w:pPr>
              <w:numPr>
                <w:ilvl w:val="0"/>
                <w:numId w:val="4"/>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responsibility for promoting and safeguarding the welfare of children within the school and trust.</w:t>
            </w:r>
          </w:p>
          <w:p w:rsidR="00000000" w:rsidDel="00000000" w:rsidP="00000000" w:rsidRDefault="00000000" w:rsidRPr="00000000" w14:paraId="0000001D">
            <w:pPr>
              <w:numPr>
                <w:ilvl w:val="0"/>
                <w:numId w:val="4"/>
              </w:numPr>
              <w:spacing w:before="100" w:lineRule="auto"/>
              <w:ind w:left="720" w:right="287.02880859375"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inline with the school ethos and the trusts’ vision. </w:t>
            </w:r>
          </w:p>
        </w:tc>
      </w:tr>
      <w:tr>
        <w:trPr>
          <w:cantSplit w:val="0"/>
          <w:trHeight w:val="220" w:hRule="atLeast"/>
          <w:tblHeader w:val="0"/>
        </w:trPr>
        <w:tc>
          <w:tcPr>
            <w:gridSpan w:val="2"/>
            <w:shd w:fill="c6d9f1" w:val="clear"/>
          </w:tcPr>
          <w:p w:rsidR="00000000" w:rsidDel="00000000" w:rsidP="00000000" w:rsidRDefault="00000000" w:rsidRPr="00000000" w14:paraId="0000001F">
            <w:pP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Duties and Responsibilities </w:t>
            </w:r>
          </w:p>
        </w:tc>
      </w:tr>
      <w:tr>
        <w:trPr>
          <w:cantSplit w:val="0"/>
          <w:trHeight w:val="220" w:hRule="atLeast"/>
          <w:tblHeader w:val="0"/>
        </w:trPr>
        <w:tc>
          <w:tcPr>
            <w:gridSpan w:val="2"/>
          </w:tcPr>
          <w:p w:rsidR="00000000" w:rsidDel="00000000" w:rsidP="00000000" w:rsidRDefault="00000000" w:rsidRPr="00000000" w14:paraId="00000021">
            <w:pPr>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Teaching and Learning </w:t>
            </w:r>
          </w:p>
          <w:p w:rsidR="00000000" w:rsidDel="00000000" w:rsidP="00000000" w:rsidRDefault="00000000" w:rsidRPr="00000000" w14:paraId="00000022">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000000" w:rsidDel="00000000" w:rsidP="00000000" w:rsidRDefault="00000000" w:rsidRPr="00000000" w14:paraId="00000023">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support and facilitate inclusion by encouraging participation of all pupils in learning and extra curricular activities.</w:t>
            </w:r>
          </w:p>
          <w:p w:rsidR="00000000" w:rsidDel="00000000" w:rsidP="00000000" w:rsidRDefault="00000000" w:rsidRPr="00000000" w14:paraId="00000024">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Support the teaching of a broad and balanced curriculum aimed at pupils achieving their full potential in all areas of learning.</w:t>
            </w:r>
          </w:p>
          <w:p w:rsidR="00000000" w:rsidDel="00000000" w:rsidP="00000000" w:rsidRDefault="00000000" w:rsidRPr="00000000" w14:paraId="00000025">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Use effective behaviour management strategies consistently in line with the school’s policy and procedures. </w:t>
            </w:r>
          </w:p>
          <w:p w:rsidR="00000000" w:rsidDel="00000000" w:rsidP="00000000" w:rsidRDefault="00000000" w:rsidRPr="00000000" w14:paraId="00000026">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7">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Organise and manage teaching space and resources to help maintain a stimulating and safe learning environment.</w:t>
            </w:r>
          </w:p>
          <w:p w:rsidR="00000000" w:rsidDel="00000000" w:rsidP="00000000" w:rsidRDefault="00000000" w:rsidRPr="00000000" w14:paraId="00000028">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Observe pupil performance and pass observations on to the class teacher.</w:t>
            </w:r>
          </w:p>
          <w:p w:rsidR="00000000" w:rsidDel="00000000" w:rsidP="00000000" w:rsidRDefault="00000000" w:rsidRPr="00000000" w14:paraId="00000029">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Supervise a class if the teacher is temporarily unavailable. </w:t>
            </w:r>
          </w:p>
          <w:p w:rsidR="00000000" w:rsidDel="00000000" w:rsidP="00000000" w:rsidRDefault="00000000" w:rsidRPr="00000000" w14:paraId="0000002A">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Use ICT skills to advance pupils’ learning. </w:t>
            </w:r>
          </w:p>
          <w:p w:rsidR="00000000" w:rsidDel="00000000" w:rsidP="00000000" w:rsidRDefault="00000000" w:rsidRPr="00000000" w14:paraId="0000002B">
            <w:pPr>
              <w:widowControl w:val="0"/>
              <w:numPr>
                <w:ilvl w:val="0"/>
                <w:numId w:val="6"/>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Undertake any other relevant duties given by the class teacher.</w:t>
            </w:r>
          </w:p>
        </w:tc>
      </w:tr>
      <w:tr>
        <w:trPr>
          <w:cantSplit w:val="0"/>
          <w:trHeight w:val="220" w:hRule="atLeast"/>
          <w:tblHeader w:val="0"/>
        </w:trPr>
        <w:tc>
          <w:tcPr>
            <w:gridSpan w:val="2"/>
          </w:tcPr>
          <w:p w:rsidR="00000000" w:rsidDel="00000000" w:rsidP="00000000" w:rsidRDefault="00000000" w:rsidRPr="00000000" w14:paraId="0000002D">
            <w:pPr>
              <w:shd w:fill="ffffff" w:val="clear"/>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Planning </w:t>
            </w:r>
          </w:p>
          <w:p w:rsidR="00000000" w:rsidDel="00000000" w:rsidP="00000000" w:rsidRDefault="00000000" w:rsidRPr="00000000" w14:paraId="0000002E">
            <w:pPr>
              <w:numPr>
                <w:ilvl w:val="0"/>
                <w:numId w:val="3"/>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Contribute to effective assessment and planning by supporting the monitoring, recording and reporting of pupil performance and progress as appropriate to the level of the role.</w:t>
            </w:r>
          </w:p>
          <w:p w:rsidR="00000000" w:rsidDel="00000000" w:rsidP="00000000" w:rsidRDefault="00000000" w:rsidRPr="00000000" w14:paraId="0000002F">
            <w:pPr>
              <w:numPr>
                <w:ilvl w:val="0"/>
                <w:numId w:val="3"/>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Read and understand lesson plans shared prior to lessons, if available.</w:t>
            </w:r>
          </w:p>
          <w:p w:rsidR="00000000" w:rsidDel="00000000" w:rsidP="00000000" w:rsidRDefault="00000000" w:rsidRPr="00000000" w14:paraId="00000030">
            <w:pPr>
              <w:numPr>
                <w:ilvl w:val="0"/>
                <w:numId w:val="3"/>
              </w:numPr>
              <w:shd w:fill="ffffff" w:val="clea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Prepare the classroom for lessons.</w:t>
            </w:r>
          </w:p>
        </w:tc>
      </w:tr>
      <w:tr>
        <w:trPr>
          <w:cantSplit w:val="0"/>
          <w:trHeight w:val="220" w:hRule="atLeast"/>
          <w:tblHeader w:val="0"/>
        </w:trPr>
        <w:tc>
          <w:tcPr>
            <w:gridSpan w:val="2"/>
          </w:tcPr>
          <w:p w:rsidR="00000000" w:rsidDel="00000000" w:rsidP="00000000" w:rsidRDefault="00000000" w:rsidRPr="00000000" w14:paraId="00000032">
            <w:pPr>
              <w:widowControl w:val="0"/>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Working with staff, parents/carers and relevant professionals</w:t>
            </w:r>
          </w:p>
          <w:p w:rsidR="00000000" w:rsidDel="00000000" w:rsidP="00000000" w:rsidRDefault="00000000" w:rsidRPr="00000000" w14:paraId="00000033">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effectively with other staff members and pupils, and with parents and carers under the direction of the class teacher.</w:t>
            </w:r>
          </w:p>
          <w:p w:rsidR="00000000" w:rsidDel="00000000" w:rsidP="00000000" w:rsidRDefault="00000000" w:rsidRPr="00000000" w14:paraId="00000034">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the knowledge and understanding of pupils to other school staff and education, health and social care professionals, so that informed decision making can take place on intervention and provision.</w:t>
            </w:r>
          </w:p>
          <w:p w:rsidR="00000000" w:rsidDel="00000000" w:rsidP="00000000" w:rsidRDefault="00000000" w:rsidRPr="00000000" w14:paraId="00000035">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With the class teacher, keep other professionals accurately informed of performance and progress, or concerns they may have about the pupils they work with.</w:t>
            </w:r>
          </w:p>
          <w:p w:rsidR="00000000" w:rsidDel="00000000" w:rsidP="00000000" w:rsidRDefault="00000000" w:rsidRPr="00000000" w14:paraId="00000036">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Collaborate and work with colleagues and other relevant professionals within and beyond the school.</w:t>
            </w:r>
          </w:p>
          <w:p w:rsidR="00000000" w:rsidDel="00000000" w:rsidP="00000000" w:rsidRDefault="00000000" w:rsidRPr="00000000" w14:paraId="00000037">
            <w:pPr>
              <w:widowControl w:val="0"/>
              <w:numPr>
                <w:ilvl w:val="0"/>
                <w:numId w:val="2"/>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Develop effective professional relationships with colleagues.</w:t>
            </w:r>
          </w:p>
        </w:tc>
      </w:tr>
      <w:tr>
        <w:trPr>
          <w:cantSplit w:val="0"/>
          <w:trHeight w:val="220" w:hRule="atLeast"/>
          <w:tblHeader w:val="0"/>
        </w:trPr>
        <w:tc>
          <w:tcPr>
            <w:gridSpan w:val="2"/>
          </w:tcPr>
          <w:p w:rsidR="00000000" w:rsidDel="00000000" w:rsidP="00000000" w:rsidRDefault="00000000" w:rsidRPr="00000000" w14:paraId="00000039">
            <w:pPr>
              <w:widowControl w:val="0"/>
              <w:spacing w:before="100" w:lineRule="auto"/>
              <w:rPr>
                <w:rFonts w:ascii="Avenir" w:cs="Avenir" w:eastAsia="Avenir" w:hAnsi="Avenir"/>
                <w:b w:val="1"/>
                <w:color w:val="434343"/>
              </w:rPr>
            </w:pPr>
            <w:r w:rsidDel="00000000" w:rsidR="00000000" w:rsidRPr="00000000">
              <w:rPr>
                <w:rFonts w:ascii="Avenir" w:cs="Avenir" w:eastAsia="Avenir" w:hAnsi="Avenir"/>
                <w:b w:val="1"/>
                <w:color w:val="434343"/>
                <w:u w:val="single"/>
                <w:rtl w:val="0"/>
              </w:rPr>
              <w:t xml:space="preserve">Safeguarding</w:t>
            </w:r>
            <w:r w:rsidDel="00000000" w:rsidR="00000000" w:rsidRPr="00000000">
              <w:rPr>
                <w:rtl w:val="0"/>
              </w:rPr>
            </w:r>
          </w:p>
          <w:p w:rsidR="00000000" w:rsidDel="00000000" w:rsidP="00000000" w:rsidRDefault="00000000" w:rsidRPr="00000000" w14:paraId="0000003A">
            <w:pPr>
              <w:widowControl w:val="0"/>
              <w:numPr>
                <w:ilvl w:val="0"/>
                <w:numId w:val="7"/>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B">
            <w:pPr>
              <w:widowControl w:val="0"/>
              <w:numPr>
                <w:ilvl w:val="0"/>
                <w:numId w:val="7"/>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3D">
            <w:pPr>
              <w:widowControl w:val="0"/>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Health and safety</w:t>
            </w:r>
          </w:p>
          <w:p w:rsidR="00000000" w:rsidDel="00000000" w:rsidP="00000000" w:rsidRDefault="00000000" w:rsidRPr="00000000" w14:paraId="0000003E">
            <w:pPr>
              <w:widowControl w:val="0"/>
              <w:numPr>
                <w:ilvl w:val="0"/>
                <w:numId w:val="5"/>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the safety and wellbeing of pupils, and help to safeguard pupils’ wellbeing by following the requirements of Keeping Children Safe in Education (KCSIE) and our school’s child protection policy.</w:t>
            </w:r>
          </w:p>
          <w:p w:rsidR="00000000" w:rsidDel="00000000" w:rsidP="00000000" w:rsidRDefault="00000000" w:rsidRPr="00000000" w14:paraId="0000003F">
            <w:pPr>
              <w:widowControl w:val="0"/>
              <w:numPr>
                <w:ilvl w:val="0"/>
                <w:numId w:val="5"/>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Look after children who are upset or have had accidents.</w:t>
            </w:r>
          </w:p>
        </w:tc>
      </w:tr>
      <w:tr>
        <w:trPr>
          <w:cantSplit w:val="0"/>
          <w:trHeight w:val="220" w:hRule="atLeast"/>
          <w:tblHeader w:val="0"/>
        </w:trPr>
        <w:tc>
          <w:tcPr>
            <w:gridSpan w:val="2"/>
          </w:tcPr>
          <w:p w:rsidR="00000000" w:rsidDel="00000000" w:rsidP="00000000" w:rsidRDefault="00000000" w:rsidRPr="00000000" w14:paraId="00000041">
            <w:pPr>
              <w:widowControl w:val="0"/>
              <w:spacing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Professional development</w:t>
            </w:r>
          </w:p>
          <w:p w:rsidR="00000000" w:rsidDel="00000000" w:rsidP="00000000" w:rsidRDefault="00000000" w:rsidRPr="00000000" w14:paraId="00000042">
            <w:pPr>
              <w:widowControl w:val="0"/>
              <w:numPr>
                <w:ilvl w:val="0"/>
                <w:numId w:val="1"/>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43">
            <w:pPr>
              <w:widowControl w:val="0"/>
              <w:numPr>
                <w:ilvl w:val="0"/>
                <w:numId w:val="1"/>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44">
            <w:pPr>
              <w:widowControl w:val="0"/>
              <w:numPr>
                <w:ilvl w:val="0"/>
                <w:numId w:val="1"/>
              </w:numPr>
              <w:spacing w:before="10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part in the school’s appraisal procedures.</w:t>
            </w:r>
          </w:p>
        </w:tc>
      </w:tr>
    </w:tbl>
    <w:p w:rsidR="00000000" w:rsidDel="00000000" w:rsidP="00000000" w:rsidRDefault="00000000" w:rsidRPr="00000000" w14:paraId="00000046">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7">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8">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9">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Please note that this list of duties is illustrative of the general nature and level of responsibility of the role. It is not a comprehensive list of all tasks that the Teaching Assistant (TA) will carry out. The postholder may be required to do other duties appropriate to the level of the role, as directed by the Headteacher.  This job description may be amended at any time in consultation with the postholder.</w:t>
      </w:r>
    </w:p>
    <w:p w:rsidR="00000000" w:rsidDel="00000000" w:rsidP="00000000" w:rsidRDefault="00000000" w:rsidRPr="00000000" w14:paraId="0000004A">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B">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C">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D">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E">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F">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0">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1">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2">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3">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4">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5">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6">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7">
      <w:pPr>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PERSON SPECIFICATION </w:t>
      </w:r>
    </w:p>
    <w:tbl>
      <w:tblPr>
        <w:tblStyle w:val="Table2"/>
        <w:tblW w:w="9870.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95"/>
        <w:gridCol w:w="1665"/>
        <w:gridCol w:w="1710"/>
        <w:tblGridChange w:id="0">
          <w:tblGrid>
            <w:gridCol w:w="6495"/>
            <w:gridCol w:w="1665"/>
            <w:gridCol w:w="171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Selection Criteria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Essential (E) or Desirable (D)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Assessed By</w:t>
            </w:r>
          </w:p>
        </w:tc>
      </w:tr>
      <w:tr>
        <w:trPr>
          <w:cantSplit w:val="0"/>
          <w:trHeight w:val="48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Qualifications, Training and CPD</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GCSE or equivalent level, including at least a Grade 4 (previously Grade C) in English and Maths.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First-aid training, or willingness to complete it.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w:t>
            </w:r>
          </w:p>
        </w:tc>
      </w:tr>
      <w:tr>
        <w:trPr>
          <w:cantSplit w:val="0"/>
          <w:trHeight w:val="54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64">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 Experience</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 working knowledge and demonstrable understanding of child protection and safeguarding.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Experience planning and delivering learning activities.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Sound knowledge and understanding of child development and the needs of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professional boundaries and appropriate relationships with children, young people, their parents and carers.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Proven interpersonal, verbal and written communication skills with the ability to effectively communicate with a wide range of people, particularly with parents/carers and external agencies.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9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76">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Knowledge, Skills and Attributes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literacy and numeracy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p w:rsidR="00000000" w:rsidDel="00000000" w:rsidP="00000000" w:rsidRDefault="00000000" w:rsidRPr="00000000" w14:paraId="0000007B">
            <w:pPr>
              <w:spacing w:after="0" w:lineRule="auto"/>
              <w:rPr>
                <w:rFonts w:ascii="Avenir" w:cs="Avenir" w:eastAsia="Avenir" w:hAnsi="Avenir"/>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organisational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Ability to build effective working relationships with pupils and adults.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of how to help adapt and deliver support to meet individual needs.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Subject and curriculum knowledge relevant to the role, and ability to apply this effectively in supporting teachers and pupils.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Excellent verbal communication skills and active listening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guidance and requirements around safeguarding children, pupil’s wellbeing and equality.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ICT skills, particularly using ICT to support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roles and responsibilities within the classroom and whole school context.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95">
            <w:pPr>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Personal Qualities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Enjoyment of working with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Sensitivity and understanding, to help build good relationships with pupils.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Resilient, positive, and committed to our mission, ensuring every child, whatever their background, receives a high quality education.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 commitment to getting the best outcomes for all pupils, and promoting the ethos and values of the school.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Commitment to maintaining confidentiality at all times.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Capacity to inspire, motivate and challenge children and young people.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after="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bl>
    <w:p w:rsidR="00000000" w:rsidDel="00000000" w:rsidP="00000000" w:rsidRDefault="00000000" w:rsidRPr="00000000" w14:paraId="000000AA">
      <w:pPr>
        <w:widowControl w:val="0"/>
        <w:spacing w:after="0" w:lineRule="auto"/>
        <w:rPr>
          <w:rFonts w:ascii="Avenir" w:cs="Avenir" w:eastAsia="Avenir" w:hAnsi="Avenir"/>
          <w:b w:val="1"/>
          <w:color w:val="434343"/>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1440" w:top="1440" w:left="1440" w:right="1440" w:header="907.0866141732284"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20"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-742941</wp:posOffset>
          </wp:positionH>
          <wp:positionV relativeFrom="paragraph">
            <wp:posOffset>-449991</wp:posOffset>
          </wp:positionV>
          <wp:extent cx="1462088" cy="1462088"/>
          <wp:effectExtent b="0" l="0" r="0" t="0"/>
          <wp:wrapNone/>
          <wp:docPr descr="Icon&#10;&#10;Description automatically generated" id="21"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05C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line="240" w:lineRule="auto"/>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line="240" w:lineRule="auto"/>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line="240" w:lineRule="auto"/>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line="240" w:lineRule="auto"/>
    </w:pPr>
    <w:tblPr>
      <w:tblStyleRowBandSize w:val="1"/>
      <w:tblStyleColBandSize w:val="1"/>
    </w:tblPr>
  </w:style>
  <w:style w:type="paragraph" w:styleId="Default" w:customStyle="1">
    <w:name w:val="Default"/>
    <w:rsid w:val="00415BE6"/>
    <w:pPr>
      <w:autoSpaceDE w:val="0"/>
      <w:autoSpaceDN w:val="0"/>
      <w:adjustRightInd w:val="0"/>
      <w:spacing w:after="0" w:line="240" w:lineRule="auto"/>
    </w:pPr>
    <w:rPr>
      <w:rFonts w:ascii="Arial" w:cs="Arial" w:eastAsia="Times New Roman" w:hAnsi="Arial"/>
      <w:color w:val="000000"/>
      <w:sz w:val="24"/>
      <w:szCs w:val="24"/>
      <w:lang w:eastAsia="en-AU"/>
    </w:r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5978"/>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61S1sZPto6dJXdjgXJzL8Vrhg==">CgMxLjA4AHIhMUFHZmQ4TUhzTnpvUVJwQmlRUlNrZ2xwQjg3UG03bG5v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