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Class Teacher Job Description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title:</w:t>
        <w:tab/>
        <w:t xml:space="preserve">Class Teacher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Level/salary band:</w:t>
        <w:tab/>
        <w:t xml:space="preserve">MPS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headerReference r:id="rId6" w:type="default"/>
          <w:pgSz w:h="23820" w:w="16840" w:orient="portrait"/>
          <w:pgMar w:bottom="280" w:top="780" w:left="340" w:right="320" w:header="720" w:footer="720"/>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Accountable to:</w:t>
        <w:tab/>
        <w:t xml:space="preserve">Headteacher</w:t>
      </w:r>
    </w:p>
    <w:bookmarkStart w:colFirst="0" w:colLast="0" w:name="gjdgxs" w:id="0"/>
    <w:bookmarkEnd w:id="0"/>
    <w:p w:rsidR="00000000" w:rsidDel="00000000" w:rsidP="00000000" w:rsidRDefault="00000000" w:rsidRPr="00000000" w14:paraId="00000009">
      <w:pPr>
        <w:pStyle w:val="Heading1"/>
        <w:spacing w:before="214" w:lineRule="auto"/>
        <w:ind w:left="227" w:firstLine="0"/>
        <w:rPr/>
      </w:pPr>
      <w:bookmarkStart w:colFirst="0" w:colLast="0" w:name="_30j0zll" w:id="1"/>
      <w:bookmarkEnd w:id="1"/>
      <w:r w:rsidDel="00000000" w:rsidR="00000000" w:rsidRPr="00000000">
        <w:rPr>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4921885" cy="202565"/>
                <wp:effectExtent b="0" l="0" r="0" t="0"/>
                <wp:docPr id="4" name=""/>
                <a:graphic>
                  <a:graphicData uri="http://schemas.microsoft.com/office/word/2010/wordprocessingShape">
                    <wps:wsp>
                      <wps:cNvSpPr/>
                      <wps:cNvPr id="5" name="Shape 5"/>
                      <wps:spPr>
                        <a:xfrm>
                          <a:off x="2889820" y="3683480"/>
                          <a:ext cx="4912360" cy="193040"/>
                        </a:xfrm>
                        <a:prstGeom prst="rect">
                          <a:avLst/>
                        </a:prstGeom>
                        <a:solidFill>
                          <a:srgbClr val="CFDCE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20" w:line="240"/>
                              <w:ind w:left="108.99999618530273" w:right="0" w:firstLine="108.99999618530273"/>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1	Set high expectations which inspire, motivate and challenge pupils</w:t>
                            </w:r>
                          </w:p>
                        </w:txbxContent>
                      </wps:txbx>
                      <wps:bodyPr anchorCtr="0" anchor="t" bIns="0" lIns="0" spcFirstLastPara="1" rIns="0" wrap="square" tIns="0">
                        <a:noAutofit/>
                      </wps:bodyPr>
                    </wps:wsp>
                  </a:graphicData>
                </a:graphic>
              </wp:inline>
            </w:drawing>
          </mc:Choice>
          <mc:Fallback>
            <w:drawing>
              <wp:inline distB="0" distT="0" distL="0" distR="0">
                <wp:extent cx="4921885" cy="202565"/>
                <wp:effectExtent b="0" l="0" r="0" t="0"/>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921885" cy="2025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a safe and stimulating environment for pupils, rooted in mutual respect</w:t>
      </w:r>
    </w:p>
    <w:p w:rsidR="00000000" w:rsidDel="00000000" w:rsidP="00000000" w:rsidRDefault="00000000" w:rsidRPr="00000000" w14:paraId="0000000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 goals that stretch and challenge pupils of all backgrounds, abilities and dispositions</w:t>
      </w:r>
    </w:p>
    <w:p w:rsidR="00000000" w:rsidDel="00000000" w:rsidP="00000000" w:rsidRDefault="00000000" w:rsidRPr="00000000" w14:paraId="0000000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consistently the positive attitudes, values and behaviour which are expected of pupils.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4921885" cy="202565"/>
                <wp:effectExtent b="0" l="0" r="0" t="0"/>
                <wp:docPr id="3" name=""/>
                <a:graphic>
                  <a:graphicData uri="http://schemas.microsoft.com/office/word/2010/wordprocessingShape">
                    <wps:wsp>
                      <wps:cNvSpPr/>
                      <wps:cNvPr id="4" name="Shape 4"/>
                      <wps:spPr>
                        <a:xfrm>
                          <a:off x="2889820" y="3683480"/>
                          <a:ext cx="4912360" cy="193040"/>
                        </a:xfrm>
                        <a:prstGeom prst="rect">
                          <a:avLst/>
                        </a:prstGeom>
                        <a:solidFill>
                          <a:srgbClr val="CFDCE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20" w:line="240"/>
                              <w:ind w:left="108.99999618530273" w:right="0" w:firstLine="108.99999618530273"/>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2	Promote good progress and outcomes by pupils</w:t>
                            </w:r>
                          </w:p>
                        </w:txbxContent>
                      </wps:txbx>
                      <wps:bodyPr anchorCtr="0" anchor="t" bIns="0" lIns="0" spcFirstLastPara="1" rIns="0" wrap="square" tIns="0">
                        <a:noAutofit/>
                      </wps:bodyPr>
                    </wps:wsp>
                  </a:graphicData>
                </a:graphic>
              </wp:inline>
            </w:drawing>
          </mc:Choice>
          <mc:Fallback>
            <w:drawing>
              <wp:inline distB="0" distT="0" distL="0" distR="0">
                <wp:extent cx="4921885" cy="202565"/>
                <wp:effectExtent b="0" l="0" r="0" t="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921885" cy="2025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accountable for pupils’ attainment, progress and outcomes</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of pupils’ capabilities and their prior knowledge, and plan teaching to build on these</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guide pupils to reflect on the progress they have made and their emerging needs</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knowledge and understanding of how pupils learn and how this impacts on teaching</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 pupils to take a responsible and conscientious attitude to their own work and study.</w:t>
      </w:r>
      <w:r w:rsidDel="00000000" w:rsidR="00000000" w:rsidRPr="00000000">
        <w:br w:type="column"/>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and understand how to assess the relevant subject and curriculum areas, including statutory assessment requirements</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use of formative and summative assessment to secure pupils’ progress</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relevant data to monitor progress, set targets, and plan subsequent lessons</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pupils regular feedback, both orally and through accurate marking, and encourage pupils to respond to the feedback.</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4921885" cy="363220"/>
                <wp:effectExtent b="0" l="0" r="0" t="0"/>
                <wp:docPr id="6" name=""/>
                <a:graphic>
                  <a:graphicData uri="http://schemas.microsoft.com/office/word/2010/wordprocessingShape">
                    <wps:wsp>
                      <wps:cNvSpPr/>
                      <wps:cNvPr id="7" name="Shape 7"/>
                      <wps:spPr>
                        <a:xfrm>
                          <a:off x="2889820" y="3603153"/>
                          <a:ext cx="4912360" cy="353695"/>
                        </a:xfrm>
                        <a:prstGeom prst="rect">
                          <a:avLst/>
                        </a:prstGeom>
                        <a:solidFill>
                          <a:srgbClr val="CFDCE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18.99999976158142" w:line="240"/>
                              <w:ind w:left="475.99998474121094" w:right="477.00000762939453" w:firstLine="108.00000190734863"/>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7	Manage behaviour effectively to ensure a good and safe learning environment</w:t>
                            </w:r>
                          </w:p>
                        </w:txbxContent>
                      </wps:txbx>
                      <wps:bodyPr anchorCtr="0" anchor="t" bIns="0" lIns="0" spcFirstLastPara="1" rIns="0" wrap="square" tIns="0">
                        <a:noAutofit/>
                      </wps:bodyPr>
                    </wps:wsp>
                  </a:graphicData>
                </a:graphic>
              </wp:inline>
            </w:drawing>
          </mc:Choice>
          <mc:Fallback>
            <w:drawing>
              <wp:inline distB="0" distT="0" distL="0" distR="0">
                <wp:extent cx="4921885" cy="363220"/>
                <wp:effectExtent b="0" l="0" r="0" t="0"/>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4921885" cy="3632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clear rules and routines for behaviour in classrooms, and take responsibility for promoting good and courteous behaviour both in classrooms and around the school, in accordance with the school’s behaviour policy</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high expectations of behaviour, and establish a framework for discipline with a range of strategies, using praise, sanctions and rewards consistently and fairly</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 classes effectively, using approaches which are appropriate to pupils’ needs in order to involve and motivate them</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ectPr>
          <w:type w:val="continuous"/>
          <w:pgSz w:h="23820" w:w="16840" w:orient="portrait"/>
          <w:pgMar w:bottom="280" w:top="780" w:left="340" w:right="320" w:header="720" w:footer="720"/>
          <w:cols w:equalWidth="0" w:num="2">
            <w:col w:space="837" w:w="7671.5"/>
            <w:col w:space="0" w:w="7671.5"/>
          </w:cols>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good relationships with pupils, exercise appropriate authority, and act decisively when necessary</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y</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Pr>
        <mc:AlternateContent>
          <mc:Choice Requires="wpg">
            <w:drawing>
              <wp:inline distB="0" distT="0" distL="0" distR="0">
                <wp:extent cx="4921885" cy="202565"/>
                <wp:effectExtent b="0" l="0" r="0" t="0"/>
                <wp:docPr id="5" name=""/>
                <a:graphic>
                  <a:graphicData uri="http://schemas.microsoft.com/office/word/2010/wordprocessingShape">
                    <wps:wsp>
                      <wps:cNvSpPr/>
                      <wps:cNvPr id="6" name="Shape 6"/>
                      <wps:spPr>
                        <a:xfrm>
                          <a:off x="2889820" y="3683480"/>
                          <a:ext cx="4912360" cy="193040"/>
                        </a:xfrm>
                        <a:prstGeom prst="rect">
                          <a:avLst/>
                        </a:prstGeom>
                        <a:solidFill>
                          <a:srgbClr val="CFDCE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20" w:line="240"/>
                              <w:ind w:left="108.99999618530273" w:right="0" w:firstLine="108.99999618530273"/>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3	Demonstrate good subject and curriculum knowledge</w:t>
                            </w:r>
                          </w:p>
                        </w:txbxContent>
                      </wps:txbx>
                      <wps:bodyPr anchorCtr="0" anchor="t" bIns="0" lIns="0" spcFirstLastPara="1" rIns="0" wrap="square" tIns="0">
                        <a:noAutofit/>
                      </wps:bodyPr>
                    </wps:wsp>
                  </a:graphicData>
                </a:graphic>
              </wp:inline>
            </w:drawing>
          </mc:Choice>
          <mc:Fallback>
            <w:drawing>
              <wp:inline distB="0" distT="0" distL="0" distR="0">
                <wp:extent cx="4921885" cy="202565"/>
                <wp:effectExtent b="0" l="0" r="0" t="0"/>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4921885" cy="202565"/>
                        </a:xfrm>
                        <a:prstGeom prst="rect"/>
                        <a:ln/>
                      </pic:spPr>
                    </pic:pic>
                  </a:graphicData>
                </a:graphic>
              </wp:inline>
            </w:drawing>
          </mc:Fallback>
        </mc:AlternateConten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4921885" cy="201930"/>
                <wp:effectExtent b="0" l="0" r="0" t="0"/>
                <wp:docPr id="7" name=""/>
                <a:graphic>
                  <a:graphicData uri="http://schemas.microsoft.com/office/word/2010/wordprocessingShape">
                    <wps:wsp>
                      <wps:cNvSpPr/>
                      <wps:cNvPr id="8" name="Shape 8"/>
                      <wps:spPr>
                        <a:xfrm>
                          <a:off x="2889820" y="3683798"/>
                          <a:ext cx="4912360" cy="192405"/>
                        </a:xfrm>
                        <a:prstGeom prst="rect">
                          <a:avLst/>
                        </a:prstGeom>
                        <a:solidFill>
                          <a:srgbClr val="CFDCE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20" w:line="240"/>
                              <w:ind w:left="108.99999618530273" w:right="0" w:firstLine="108.99999618530273"/>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8	Fulfil wider professional responsibilities</w:t>
                            </w:r>
                          </w:p>
                        </w:txbxContent>
                      </wps:txbx>
                      <wps:bodyPr anchorCtr="0" anchor="t" bIns="0" lIns="0" spcFirstLastPara="1" rIns="0" wrap="square" tIns="0">
                        <a:noAutofit/>
                      </wps:bodyPr>
                    </wps:wsp>
                  </a:graphicData>
                </a:graphic>
              </wp:inline>
            </w:drawing>
          </mc:Choice>
          <mc:Fallback>
            <w:drawing>
              <wp:inline distB="0" distT="0" distL="0" distR="0">
                <wp:extent cx="4921885" cy="201930"/>
                <wp:effectExtent b="0" l="0" r="0" t="0"/>
                <wp:docPr id="7"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4921885" cy="20193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6"/>
          <w:szCs w:val="6"/>
          <w:u w:val="none"/>
          <w:shd w:fill="auto" w:val="clear"/>
          <w:vertAlign w:val="baseline"/>
        </w:rPr>
        <w:sectPr>
          <w:type w:val="continuous"/>
          <w:pgSz w:h="23820" w:w="16840" w:orient="portrait"/>
          <w:pgMar w:bottom="280" w:top="780" w:left="340" w:right="320" w:header="720" w:footer="720"/>
        </w:sect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secure knowledge of the relevant subject(s) and curriculum areas, foster and maintain pupils’ interest in the subject, and address misunderstandings</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a critical understanding of developments in the subject and curriculum areas, and promote the value of scholarship</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an understanding of and take responsibility for promoting high standards of literacy, articulacy and the correct use of standard English, whatever the teacher’s specialist subject</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teaching early reading, demonstrate a clear understanding of systematic synthetic phonics</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teaching early mathematics, demonstrate a clear understanding of appropriate teaching strategies.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469900</wp:posOffset>
                </wp:positionV>
                <wp:extent cx="4921885" cy="202565"/>
                <wp:effectExtent b="0" l="0" r="0" t="0"/>
                <wp:wrapNone/>
                <wp:docPr id="8" name=""/>
                <a:graphic>
                  <a:graphicData uri="http://schemas.microsoft.com/office/word/2010/wordprocessingShape">
                    <wps:wsp>
                      <wps:cNvSpPr/>
                      <wps:cNvPr id="9" name="Shape 9"/>
                      <wps:spPr>
                        <a:xfrm>
                          <a:off x="2889820" y="3683480"/>
                          <a:ext cx="4912360" cy="193040"/>
                        </a:xfrm>
                        <a:prstGeom prst="rect">
                          <a:avLst/>
                        </a:prstGeom>
                        <a:solidFill>
                          <a:srgbClr val="CFDCE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20" w:line="240"/>
                              <w:ind w:left="108.99999618530273" w:right="0" w:firstLine="108.99999618530273"/>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4	Plan and teach well-structured lessons</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469900</wp:posOffset>
                </wp:positionV>
                <wp:extent cx="4921885" cy="202565"/>
                <wp:effectExtent b="0" l="0" r="0" t="0"/>
                <wp:wrapNone/>
                <wp:docPr id="8"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4921885" cy="202565"/>
                        </a:xfrm>
                        <a:prstGeom prst="rect"/>
                        <a:ln/>
                      </pic:spPr>
                    </pic:pic>
                  </a:graphicData>
                </a:graphic>
              </wp:anchor>
            </w:drawing>
          </mc:Fallback>
        </mc:AlternateConten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impart knowledge and develop understanding through effective use of lesson time</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promote a love of learning and children’s intellectual curiosity</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 homework and plan other out-of-class activities to consolidate and extend the knowledge and understanding pupils have acquired</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reflect systematically on the effectiveness of lessons and approaches to teaching</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contribute to the design and provision of an engaging curriculum within the relevant subject area(s).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469900</wp:posOffset>
                </wp:positionV>
                <wp:extent cx="4921885" cy="202565"/>
                <wp:effectExtent b="0" l="0" r="0" t="0"/>
                <wp:wrapNone/>
                <wp:docPr id="2" name=""/>
                <a:graphic>
                  <a:graphicData uri="http://schemas.microsoft.com/office/word/2010/wordprocessingShape">
                    <wps:wsp>
                      <wps:cNvSpPr/>
                      <wps:cNvPr id="3" name="Shape 3"/>
                      <wps:spPr>
                        <a:xfrm>
                          <a:off x="2889820" y="3683480"/>
                          <a:ext cx="4912360" cy="193040"/>
                        </a:xfrm>
                        <a:prstGeom prst="rect">
                          <a:avLst/>
                        </a:prstGeom>
                        <a:solidFill>
                          <a:srgbClr val="CFDCE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20" w:line="240"/>
                              <w:ind w:left="108.99999618530273" w:right="0" w:firstLine="108.99999618530273"/>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5	Adapt teaching to respond to the strengths and needs of all pupils</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469900</wp:posOffset>
                </wp:positionV>
                <wp:extent cx="4921885" cy="202565"/>
                <wp:effectExtent b="0" l="0" r="0" t="0"/>
                <wp:wrapNone/>
                <wp:docPr id="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4921885" cy="202565"/>
                        </a:xfrm>
                        <a:prstGeom prst="rect"/>
                        <a:ln/>
                      </pic:spPr>
                    </pic:pic>
                  </a:graphicData>
                </a:graphic>
              </wp:anchor>
            </w:drawing>
          </mc:Fallback>
        </mc:AlternateConten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when and how to differentiate appropriately, using approaches which enable pupils to be taught effectively</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secure understanding of how a range of factors can inhibit pupils’ ability to learn, and how best to overcome these</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an awareness of the physical, social and intellectual development of children, and know how to adapt teaching to support pupils’ education at different stages of development</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br w:type="column"/>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 positive contribution to the wider life and ethos of the school</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effective professional relationships with colleagues, knowing how and when to draw on advice and specialist support</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deploy support staff effectively</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responsibility for improving teaching through appropriate professional development, responding to advice and feedback from colleagues</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communicate effectively with parents with regard to pupils’ achievements and well-being.</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5283200</wp:posOffset>
                </wp:positionH>
                <wp:positionV relativeFrom="paragraph">
                  <wp:posOffset>165100</wp:posOffset>
                </wp:positionV>
                <wp:extent cx="4921885" cy="202565"/>
                <wp:effectExtent b="0" l="0" r="0" t="0"/>
                <wp:wrapTopAndBottom distB="0" distT="0"/>
                <wp:docPr id="1" name=""/>
                <a:graphic>
                  <a:graphicData uri="http://schemas.microsoft.com/office/word/2010/wordprocessingShape">
                    <wps:wsp>
                      <wps:cNvSpPr/>
                      <wps:cNvPr id="2" name="Shape 2"/>
                      <wps:spPr>
                        <a:xfrm>
                          <a:off x="2889820" y="3683480"/>
                          <a:ext cx="4912360" cy="193040"/>
                        </a:xfrm>
                        <a:prstGeom prst="rect">
                          <a:avLst/>
                        </a:prstGeom>
                        <a:solidFill>
                          <a:srgbClr val="CFDCE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20" w:line="240"/>
                              <w:ind w:left="108.99999618530273" w:right="0" w:firstLine="108.99999618530273"/>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PERSONAL AND PROFESSIONAL CONDUCT</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5283200</wp:posOffset>
                </wp:positionH>
                <wp:positionV relativeFrom="paragraph">
                  <wp:posOffset>165100</wp:posOffset>
                </wp:positionV>
                <wp:extent cx="4921885" cy="20256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4921885" cy="202565"/>
                        </a:xfrm>
                        <a:prstGeom prst="rect"/>
                        <a:ln/>
                      </pic:spPr>
                    </pic:pic>
                  </a:graphicData>
                </a:graphic>
              </wp:anchor>
            </w:drawing>
          </mc:Fallback>
        </mc:AlternateConten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PHPS teacher is expected to demonstrate consistently high standards of personal and professional conduct. The following statements define the behaviour and attitudes which set the required standard for conduct throughout a teacher’s career.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Teachers uphold public trust in the profession and maintain high standards of ethics and behaviour, within and outside school, by:</w:t>
      </w:r>
    </w:p>
    <w:p w:rsidR="00000000" w:rsidDel="00000000" w:rsidP="00000000" w:rsidRDefault="00000000" w:rsidRPr="00000000" w14:paraId="0000004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treating pupils with dignity, building relationships rooted in mutual respect, and at all times observing proper boundaries appropriate to a teacher’s professional position</w:t>
      </w:r>
    </w:p>
    <w:p w:rsidR="00000000" w:rsidDel="00000000" w:rsidP="00000000" w:rsidRDefault="00000000" w:rsidRPr="00000000" w14:paraId="000000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regard for the need to safeguard pupils’ well-being, in accordance with statutory provisions</w:t>
      </w:r>
    </w:p>
    <w:p w:rsidR="00000000" w:rsidDel="00000000" w:rsidP="00000000" w:rsidRDefault="00000000" w:rsidRPr="00000000" w14:paraId="000000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showing tolerance of and respect for the rights of others</w:t>
      </w:r>
    </w:p>
    <w:p w:rsidR="00000000" w:rsidDel="00000000" w:rsidP="00000000" w:rsidRDefault="00000000" w:rsidRPr="00000000" w14:paraId="0000004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undermining fundamental British values, including democracy, the rule of law, individual liberty and mutual respect, and tolerance of those with different faiths and beliefs</w:t>
      </w:r>
    </w:p>
    <w:p w:rsidR="00000000" w:rsidDel="00000000" w:rsidP="00000000" w:rsidRDefault="00000000" w:rsidRPr="00000000" w14:paraId="000000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personal beliefs are not expressed in ways which exploit pupils’ vulnerability or might lead them to break the law.</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Teachers must have proper and professional regard for the ethos, policies and practices of the school in which they teach, and maintain high standards in their own attendance and punctuality.</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ectPr>
          <w:type w:val="continuous"/>
          <w:pgSz w:h="23820" w:w="16840" w:orient="portrait"/>
          <w:pgMar w:bottom="280" w:top="780" w:left="340" w:right="320" w:header="720" w:footer="720"/>
          <w:cols w:equalWidth="0" w:num="2">
            <w:col w:space="106" w:w="8037"/>
            <w:col w:space="0" w:w="8037"/>
          </w:cols>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Teachers must have an understanding of, and always act within, the statutory frameworks which set out their professional duties and responsibilities.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type w:val="continuous"/>
      <w:pgSz w:h="23820" w:w="16840" w:orient="portrait"/>
      <w:pgMar w:bottom="280" w:top="780" w:left="340" w:right="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ASPIRE Federation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 w:lineRule="auto"/>
      <w:ind w:left="109"/>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