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9A7"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455AAC">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mc:AlternateContent>
          <mc:Choice Requires="wps">
            <w:drawing>
              <wp:anchor distT="0" distB="0" distL="114300" distR="114300" simplePos="0" relativeHeight="251659264" behindDoc="0" locked="0" layoutInCell="1" allowOverlap="1" wp14:anchorId="172263F2" wp14:editId="1D60FAFB">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7FE7" w:rsidRDefault="00EB7FE7">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63F2"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" fillcolor="white [3201]" stroked="f" strokeweight=".5pt">
                <v:textbox>
                  <w:txbxContent>
                    <w:p w:rsidR="00EB7FE7" w:rsidRDefault="00EB7FE7">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455AAC">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Sandwich Technology School</w:t>
      </w:r>
    </w:p>
    <w:p w:rsidR="006B4035" w:rsidRPr="006B4035" w:rsidRDefault="006B4035" w:rsidP="006B4035">
      <w:pPr>
        <w:jc w:val="both"/>
        <w:rPr>
          <w:sz w:val="16"/>
          <w:szCs w:val="16"/>
        </w:rPr>
      </w:pPr>
      <w:r>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rsidTr="00D06A19">
        <w:trPr>
          <w:trHeight w:val="558"/>
        </w:trPr>
        <w:tc>
          <w:tcPr>
            <w:tcW w:w="1809" w:type="dxa"/>
            <w:tcBorders>
              <w:top w:val="nil"/>
              <w:left w:val="nil"/>
              <w:bottom w:val="nil"/>
              <w:right w:val="single" w:sz="48" w:space="0" w:color="29486D"/>
            </w:tcBorders>
            <w:shd w:val="clear" w:color="auto" w:fill="auto"/>
            <w:vAlign w:val="center"/>
          </w:tcPr>
          <w:p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rsidR="006C4506" w:rsidRPr="00586FDE" w:rsidRDefault="00501841" w:rsidP="00386051">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586FDE">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Teacher</w:t>
            </w:r>
          </w:p>
        </w:tc>
      </w:tr>
      <w:tr w:rsidR="006C4506" w:rsidRPr="00455AAC" w:rsidTr="00D06A19">
        <w:trPr>
          <w:trHeight w:val="992"/>
        </w:trPr>
        <w:tc>
          <w:tcPr>
            <w:tcW w:w="1809" w:type="dxa"/>
            <w:tcBorders>
              <w:top w:val="nil"/>
              <w:left w:val="nil"/>
              <w:bottom w:val="nil"/>
              <w:right w:val="single" w:sz="48" w:space="0" w:color="4070AA"/>
            </w:tcBorders>
            <w:shd w:val="clear" w:color="auto" w:fill="auto"/>
          </w:tcPr>
          <w:p w:rsidR="006C4506" w:rsidRPr="00455AAC" w:rsidRDefault="006C4506" w:rsidP="00E722A9">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rsidR="004938F9" w:rsidRPr="00A8529F" w:rsidRDefault="00193C77" w:rsidP="00193C77">
            <w:pPr>
              <w:autoSpaceDE w:val="0"/>
              <w:autoSpaceDN w:val="0"/>
              <w:adjustRightInd w:val="0"/>
              <w:rPr>
                <w:b/>
                <w:bCs/>
                <w:sz w:val="20"/>
                <w:szCs w:val="20"/>
              </w:rPr>
            </w:pPr>
            <w:r w:rsidRPr="00193C77">
              <w:rPr>
                <w:b/>
                <w:bCs/>
                <w:sz w:val="20"/>
                <w:szCs w:val="20"/>
              </w:rPr>
              <w:t>To facilitate and encourage learning which enables students to achieve high standards; to share</w:t>
            </w:r>
            <w:r>
              <w:rPr>
                <w:b/>
                <w:bCs/>
                <w:sz w:val="20"/>
                <w:szCs w:val="20"/>
              </w:rPr>
              <w:t xml:space="preserve"> </w:t>
            </w:r>
            <w:r w:rsidRPr="00193C77">
              <w:rPr>
                <w:b/>
                <w:bCs/>
                <w:sz w:val="20"/>
                <w:szCs w:val="20"/>
              </w:rPr>
              <w:t>and support the corporate responsibility for the well-being, education and</w:t>
            </w:r>
            <w:r>
              <w:rPr>
                <w:b/>
                <w:bCs/>
                <w:sz w:val="20"/>
                <w:szCs w:val="20"/>
              </w:rPr>
              <w:t xml:space="preserve"> </w:t>
            </w:r>
            <w:r w:rsidRPr="00193C77">
              <w:rPr>
                <w:b/>
                <w:bCs/>
                <w:sz w:val="20"/>
                <w:szCs w:val="20"/>
              </w:rPr>
              <w:t>discipline of all students</w:t>
            </w:r>
          </w:p>
        </w:tc>
      </w:tr>
      <w:tr w:rsidR="006C4506" w:rsidRPr="00455AAC" w:rsidTr="00D06A19">
        <w:tc>
          <w:tcPr>
            <w:tcW w:w="1809" w:type="dxa"/>
            <w:tcBorders>
              <w:top w:val="nil"/>
              <w:left w:val="nil"/>
              <w:bottom w:val="nil"/>
              <w:right w:val="single" w:sz="48" w:space="0" w:color="6B95C7"/>
            </w:tcBorders>
            <w:shd w:val="clear" w:color="auto" w:fill="auto"/>
          </w:tcPr>
          <w:p w:rsidR="006C4506" w:rsidRPr="00455AAC" w:rsidRDefault="006C4506" w:rsidP="00E722A9">
            <w:pPr>
              <w:rPr>
                <w:b/>
                <w:color w:val="365F91" w:themeColor="accent1" w:themeShade="BF"/>
                <w:sz w:val="20"/>
                <w:szCs w:val="20"/>
              </w:rPr>
            </w:pPr>
            <w:r w:rsidRPr="00455AAC">
              <w:rPr>
                <w:b/>
                <w:color w:val="365F91" w:themeColor="accent1" w:themeShade="BF"/>
                <w:sz w:val="20"/>
                <w:szCs w:val="20"/>
              </w:rPr>
              <w:t>Dimensions</w:t>
            </w:r>
          </w:p>
        </w:tc>
        <w:tc>
          <w:tcPr>
            <w:tcW w:w="9072" w:type="dxa"/>
            <w:tcBorders>
              <w:top w:val="nil"/>
              <w:left w:val="single" w:sz="48" w:space="0" w:color="6B95C7"/>
              <w:bottom w:val="nil"/>
              <w:right w:val="nil"/>
            </w:tcBorders>
            <w:shd w:val="clear" w:color="auto" w:fill="auto"/>
          </w:tcPr>
          <w:p w:rsidR="001B63BC" w:rsidRPr="00455AAC" w:rsidRDefault="006C4506" w:rsidP="004C0666">
            <w:pPr>
              <w:jc w:val="both"/>
              <w:rPr>
                <w:rFonts w:eastAsia="Times New Roman"/>
                <w:b/>
                <w:sz w:val="20"/>
                <w:szCs w:val="20"/>
                <w:lang w:eastAsia="en-GB"/>
              </w:rPr>
            </w:pPr>
            <w:r w:rsidRPr="00455AAC">
              <w:rPr>
                <w:b/>
                <w:sz w:val="20"/>
                <w:szCs w:val="20"/>
              </w:rPr>
              <w:t>Students</w:t>
            </w:r>
            <w:r w:rsidRPr="00455AAC">
              <w:rPr>
                <w:rFonts w:eastAsia="Times New Roman"/>
                <w:b/>
                <w:sz w:val="20"/>
                <w:szCs w:val="20"/>
                <w:lang w:eastAsia="en-GB"/>
              </w:rPr>
              <w:t xml:space="preserve"> </w:t>
            </w:r>
          </w:p>
          <w:p w:rsidR="00834707" w:rsidRPr="00834707" w:rsidRDefault="00834707" w:rsidP="00834707">
            <w:pPr>
              <w:rPr>
                <w:rFonts w:ascii="Tahoma" w:eastAsia="Times New Roman" w:hAnsi="Tahoma" w:cs="Tahoma"/>
                <w:sz w:val="20"/>
                <w:szCs w:val="20"/>
                <w:lang w:eastAsia="en-GB"/>
              </w:rPr>
            </w:pPr>
            <w:r w:rsidRPr="00834707">
              <w:rPr>
                <w:rFonts w:ascii="Tahoma" w:eastAsia="Times New Roman" w:hAnsi="Tahoma" w:cs="Tahoma"/>
                <w:sz w:val="20"/>
                <w:szCs w:val="20"/>
                <w:lang w:eastAsia="en-GB"/>
              </w:rPr>
              <w:t>All students in your assigned tutor group and teaching groups.</w:t>
            </w:r>
          </w:p>
          <w:p w:rsidR="001B63BC" w:rsidRPr="00455AAC" w:rsidRDefault="001B63BC" w:rsidP="004C0666">
            <w:pPr>
              <w:jc w:val="both"/>
              <w:rPr>
                <w:rFonts w:eastAsia="Times New Roman"/>
                <w:b/>
                <w:sz w:val="20"/>
                <w:szCs w:val="20"/>
                <w:lang w:eastAsia="en-GB"/>
              </w:rPr>
            </w:pPr>
          </w:p>
          <w:p w:rsidR="006C4506" w:rsidRPr="00455AAC" w:rsidRDefault="006C4506" w:rsidP="004C0666">
            <w:pPr>
              <w:jc w:val="both"/>
              <w:rPr>
                <w:b/>
                <w:sz w:val="20"/>
                <w:szCs w:val="20"/>
              </w:rPr>
            </w:pPr>
            <w:r w:rsidRPr="00455AAC">
              <w:rPr>
                <w:b/>
                <w:sz w:val="20"/>
                <w:szCs w:val="20"/>
              </w:rPr>
              <w:t>Staff</w:t>
            </w:r>
          </w:p>
          <w:p w:rsidR="00AB5608" w:rsidRDefault="00DD06F5" w:rsidP="004C0666">
            <w:pPr>
              <w:jc w:val="both"/>
              <w:rPr>
                <w:rFonts w:eastAsia="Times New Roman"/>
                <w:sz w:val="20"/>
                <w:szCs w:val="20"/>
                <w:lang w:eastAsia="en-GB"/>
              </w:rPr>
            </w:pPr>
            <w:r>
              <w:rPr>
                <w:rFonts w:eastAsia="Times New Roman"/>
                <w:sz w:val="20"/>
                <w:szCs w:val="20"/>
                <w:lang w:eastAsia="en-GB"/>
              </w:rPr>
              <w:t>Management of s</w:t>
            </w:r>
            <w:r w:rsidR="00834707">
              <w:rPr>
                <w:rFonts w:eastAsia="Times New Roman"/>
                <w:sz w:val="20"/>
                <w:szCs w:val="20"/>
                <w:lang w:eastAsia="en-GB"/>
              </w:rPr>
              <w:t>upport staff assigned to your teaching groups</w:t>
            </w:r>
          </w:p>
          <w:p w:rsidR="00FA70BF" w:rsidRPr="00455AAC" w:rsidRDefault="00FA70BF" w:rsidP="00834707">
            <w:pPr>
              <w:jc w:val="both"/>
              <w:rPr>
                <w:rFonts w:eastAsia="Times New Roman"/>
                <w:sz w:val="20"/>
                <w:szCs w:val="20"/>
                <w:lang w:eastAsia="en-GB"/>
              </w:rPr>
            </w:pPr>
          </w:p>
        </w:tc>
      </w:tr>
      <w:tr w:rsidR="006C4506" w:rsidRPr="00455AAC" w:rsidTr="00D06A19">
        <w:tc>
          <w:tcPr>
            <w:tcW w:w="1809" w:type="dxa"/>
            <w:tcBorders>
              <w:top w:val="nil"/>
              <w:left w:val="nil"/>
              <w:bottom w:val="nil"/>
              <w:right w:val="single" w:sz="48" w:space="0" w:color="92B1D6"/>
            </w:tcBorders>
            <w:shd w:val="clear" w:color="auto" w:fill="auto"/>
          </w:tcPr>
          <w:p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rsidR="006C4506" w:rsidRPr="0024193B" w:rsidRDefault="00AC0EE4" w:rsidP="004C0666">
            <w:pPr>
              <w:jc w:val="both"/>
              <w:rPr>
                <w:b/>
                <w:sz w:val="20"/>
                <w:szCs w:val="20"/>
              </w:rPr>
            </w:pPr>
            <w:r w:rsidRPr="0024193B">
              <w:rPr>
                <w:b/>
                <w:sz w:val="20"/>
                <w:szCs w:val="20"/>
              </w:rPr>
              <w:t>Teaching and Assessment</w:t>
            </w:r>
          </w:p>
          <w:p w:rsidR="00D12618" w:rsidRPr="0024193B" w:rsidRDefault="00C332F4" w:rsidP="00971EB6">
            <w:pPr>
              <w:pStyle w:val="ListParagraph"/>
              <w:numPr>
                <w:ilvl w:val="0"/>
                <w:numId w:val="26"/>
              </w:numPr>
              <w:autoSpaceDE w:val="0"/>
              <w:autoSpaceDN w:val="0"/>
              <w:adjustRightInd w:val="0"/>
              <w:rPr>
                <w:rFonts w:ascii="OceanSansMT-Light" w:hAnsi="OceanSansMT-Light" w:cs="OceanSansMT-Light"/>
                <w:sz w:val="20"/>
                <w:szCs w:val="20"/>
              </w:rPr>
            </w:pPr>
            <w:r w:rsidRPr="0024193B">
              <w:rPr>
                <w:rFonts w:eastAsia="Times New Roman"/>
                <w:sz w:val="20"/>
                <w:szCs w:val="20"/>
                <w:lang w:eastAsia="en-GB"/>
              </w:rPr>
              <w:t>P</w:t>
            </w:r>
            <w:r w:rsidR="00834707" w:rsidRPr="0024193B">
              <w:rPr>
                <w:rFonts w:eastAsia="Times New Roman"/>
                <w:sz w:val="20"/>
                <w:szCs w:val="20"/>
                <w:lang w:eastAsia="en-GB"/>
              </w:rPr>
              <w:t xml:space="preserve">lan </w:t>
            </w:r>
            <w:r w:rsidRPr="0024193B">
              <w:rPr>
                <w:rFonts w:eastAsia="Times New Roman"/>
                <w:sz w:val="20"/>
                <w:szCs w:val="20"/>
                <w:lang w:eastAsia="en-GB"/>
              </w:rPr>
              <w:t xml:space="preserve">high quality </w:t>
            </w:r>
            <w:r w:rsidR="00834707" w:rsidRPr="0024193B">
              <w:rPr>
                <w:rFonts w:eastAsia="Times New Roman"/>
                <w:sz w:val="20"/>
                <w:szCs w:val="20"/>
                <w:lang w:eastAsia="en-GB"/>
              </w:rPr>
              <w:t>lessons to meet students’ individual learning needs.</w:t>
            </w:r>
          </w:p>
          <w:p w:rsidR="00D12618" w:rsidRPr="0024193B" w:rsidRDefault="00C332F4" w:rsidP="00971EB6">
            <w:pPr>
              <w:pStyle w:val="ListParagraph"/>
              <w:numPr>
                <w:ilvl w:val="0"/>
                <w:numId w:val="26"/>
              </w:numPr>
              <w:rPr>
                <w:rFonts w:eastAsia="Times New Roman"/>
                <w:sz w:val="20"/>
                <w:szCs w:val="20"/>
                <w:lang w:eastAsia="en-GB"/>
              </w:rPr>
            </w:pPr>
            <w:r w:rsidRPr="0024193B">
              <w:rPr>
                <w:rFonts w:eastAsia="Times New Roman"/>
                <w:sz w:val="20"/>
                <w:szCs w:val="20"/>
                <w:lang w:eastAsia="en-GB"/>
              </w:rPr>
              <w:t>Using  the school’s teaching and learning policy use</w:t>
            </w:r>
            <w:r w:rsidR="00D12618" w:rsidRPr="0024193B">
              <w:rPr>
                <w:rFonts w:eastAsia="Times New Roman"/>
                <w:sz w:val="20"/>
                <w:szCs w:val="20"/>
                <w:lang w:eastAsia="en-GB"/>
              </w:rPr>
              <w:t xml:space="preserve"> a range of appropriate strategies for teaching</w:t>
            </w:r>
            <w:r w:rsidRPr="0024193B">
              <w:rPr>
                <w:rFonts w:eastAsia="Times New Roman"/>
                <w:sz w:val="20"/>
                <w:szCs w:val="20"/>
                <w:lang w:eastAsia="en-GB"/>
              </w:rPr>
              <w:t xml:space="preserve"> including the </w:t>
            </w:r>
            <w:r w:rsidR="0024193B">
              <w:rPr>
                <w:rFonts w:eastAsia="Times New Roman"/>
                <w:sz w:val="20"/>
                <w:szCs w:val="20"/>
                <w:lang w:eastAsia="en-GB"/>
              </w:rPr>
              <w:t>application</w:t>
            </w:r>
            <w:r w:rsidRPr="0024193B">
              <w:rPr>
                <w:rFonts w:eastAsia="Times New Roman"/>
                <w:sz w:val="20"/>
                <w:szCs w:val="20"/>
                <w:lang w:eastAsia="en-GB"/>
              </w:rPr>
              <w:t xml:space="preserve"> of new technologies to engage learners</w:t>
            </w:r>
          </w:p>
          <w:p w:rsidR="00C332F4" w:rsidRPr="0024193B" w:rsidRDefault="00C332F4" w:rsidP="00971EB6">
            <w:pPr>
              <w:pStyle w:val="ListParagraph"/>
              <w:numPr>
                <w:ilvl w:val="0"/>
                <w:numId w:val="26"/>
              </w:numPr>
              <w:autoSpaceDE w:val="0"/>
              <w:autoSpaceDN w:val="0"/>
              <w:adjustRightInd w:val="0"/>
              <w:rPr>
                <w:sz w:val="20"/>
                <w:szCs w:val="20"/>
              </w:rPr>
            </w:pPr>
            <w:r w:rsidRPr="0024193B">
              <w:rPr>
                <w:sz w:val="20"/>
                <w:szCs w:val="20"/>
              </w:rPr>
              <w:t>Set high expectations of student achievement and behaviour</w:t>
            </w:r>
          </w:p>
          <w:p w:rsidR="00C332F4" w:rsidRPr="0024193B" w:rsidRDefault="00C332F4" w:rsidP="00971EB6">
            <w:pPr>
              <w:pStyle w:val="ListParagraph"/>
              <w:numPr>
                <w:ilvl w:val="0"/>
                <w:numId w:val="26"/>
              </w:numPr>
              <w:autoSpaceDE w:val="0"/>
              <w:autoSpaceDN w:val="0"/>
              <w:adjustRightInd w:val="0"/>
              <w:rPr>
                <w:sz w:val="20"/>
                <w:szCs w:val="20"/>
              </w:rPr>
            </w:pPr>
            <w:r w:rsidRPr="0024193B">
              <w:rPr>
                <w:sz w:val="20"/>
                <w:szCs w:val="20"/>
              </w:rPr>
              <w:t>Carry out necessary assessments</w:t>
            </w:r>
          </w:p>
          <w:p w:rsidR="00D12618" w:rsidRPr="0024193B" w:rsidRDefault="00C332F4" w:rsidP="00971EB6">
            <w:pPr>
              <w:pStyle w:val="ListParagraph"/>
              <w:numPr>
                <w:ilvl w:val="0"/>
                <w:numId w:val="26"/>
              </w:numPr>
              <w:autoSpaceDE w:val="0"/>
              <w:autoSpaceDN w:val="0"/>
              <w:adjustRightInd w:val="0"/>
              <w:rPr>
                <w:rFonts w:ascii="OceanSansMT-Light" w:hAnsi="OceanSansMT-Light" w:cs="OceanSansMT-Light"/>
                <w:sz w:val="20"/>
                <w:szCs w:val="20"/>
              </w:rPr>
            </w:pPr>
            <w:r w:rsidRPr="0024193B">
              <w:rPr>
                <w:rFonts w:eastAsia="Times New Roman"/>
                <w:sz w:val="20"/>
                <w:szCs w:val="20"/>
                <w:lang w:eastAsia="en-GB"/>
              </w:rPr>
              <w:t>M</w:t>
            </w:r>
            <w:r w:rsidR="00D12618" w:rsidRPr="0024193B">
              <w:rPr>
                <w:rFonts w:eastAsia="Times New Roman"/>
                <w:sz w:val="20"/>
                <w:szCs w:val="20"/>
                <w:lang w:eastAsia="en-GB"/>
              </w:rPr>
              <w:t xml:space="preserve">onitor progress </w:t>
            </w:r>
            <w:r w:rsidRPr="0024193B">
              <w:rPr>
                <w:rFonts w:eastAsia="Times New Roman"/>
                <w:sz w:val="20"/>
                <w:szCs w:val="20"/>
                <w:lang w:eastAsia="en-GB"/>
              </w:rPr>
              <w:t xml:space="preserve">against agreed targets </w:t>
            </w:r>
            <w:r w:rsidR="00D12618" w:rsidRPr="0024193B">
              <w:rPr>
                <w:rFonts w:eastAsia="Times New Roman"/>
                <w:sz w:val="20"/>
                <w:szCs w:val="20"/>
                <w:lang w:eastAsia="en-GB"/>
              </w:rPr>
              <w:t>in order to give clear and constructive feedback to students about their learning</w:t>
            </w:r>
            <w:r w:rsidR="00D12618" w:rsidRPr="0024193B">
              <w:rPr>
                <w:rFonts w:ascii="OceanSansMT-Light" w:hAnsi="OceanSansMT-Light" w:cs="OceanSansMT-Light"/>
                <w:sz w:val="20"/>
                <w:szCs w:val="20"/>
              </w:rPr>
              <w:t xml:space="preserve"> </w:t>
            </w:r>
          </w:p>
          <w:p w:rsidR="00022F6D" w:rsidRPr="0024193B" w:rsidRDefault="00022F6D" w:rsidP="00971EB6">
            <w:pPr>
              <w:pStyle w:val="ListParagraph"/>
              <w:numPr>
                <w:ilvl w:val="0"/>
                <w:numId w:val="26"/>
              </w:numPr>
              <w:autoSpaceDE w:val="0"/>
              <w:autoSpaceDN w:val="0"/>
              <w:adjustRightInd w:val="0"/>
              <w:rPr>
                <w:sz w:val="20"/>
                <w:szCs w:val="20"/>
              </w:rPr>
            </w:pPr>
            <w:r w:rsidRPr="0024193B">
              <w:rPr>
                <w:sz w:val="20"/>
                <w:szCs w:val="20"/>
              </w:rPr>
              <w:t>P</w:t>
            </w:r>
            <w:r w:rsidR="00D12618" w:rsidRPr="0024193B">
              <w:rPr>
                <w:sz w:val="20"/>
                <w:szCs w:val="20"/>
              </w:rPr>
              <w:t>rovid</w:t>
            </w:r>
            <w:r w:rsidRPr="0024193B">
              <w:rPr>
                <w:sz w:val="20"/>
                <w:szCs w:val="20"/>
              </w:rPr>
              <w:t>e</w:t>
            </w:r>
            <w:r w:rsidR="00D12618" w:rsidRPr="0024193B">
              <w:rPr>
                <w:sz w:val="20"/>
                <w:szCs w:val="20"/>
              </w:rPr>
              <w:t xml:space="preserve"> information/comments for record</w:t>
            </w:r>
            <w:r w:rsidRPr="0024193B">
              <w:rPr>
                <w:sz w:val="20"/>
                <w:szCs w:val="20"/>
              </w:rPr>
              <w:t>s and reports</w:t>
            </w:r>
          </w:p>
          <w:p w:rsidR="00834707" w:rsidRPr="0024193B" w:rsidRDefault="00D12618" w:rsidP="00971EB6">
            <w:pPr>
              <w:pStyle w:val="ListParagraph"/>
              <w:numPr>
                <w:ilvl w:val="0"/>
                <w:numId w:val="26"/>
              </w:numPr>
              <w:autoSpaceDE w:val="0"/>
              <w:autoSpaceDN w:val="0"/>
              <w:adjustRightInd w:val="0"/>
              <w:rPr>
                <w:sz w:val="20"/>
                <w:szCs w:val="20"/>
              </w:rPr>
            </w:pPr>
            <w:r w:rsidRPr="0024193B">
              <w:rPr>
                <w:sz w:val="20"/>
                <w:szCs w:val="20"/>
              </w:rPr>
              <w:t>Maintain discipline in accordance with school policies and demonstrate good practice in the classes taught with regard to attendance</w:t>
            </w:r>
            <w:r w:rsidR="00022F6D" w:rsidRPr="0024193B">
              <w:rPr>
                <w:sz w:val="20"/>
                <w:szCs w:val="20"/>
              </w:rPr>
              <w:t>, punctuality</w:t>
            </w:r>
            <w:r w:rsidRPr="0024193B">
              <w:rPr>
                <w:sz w:val="20"/>
                <w:szCs w:val="20"/>
              </w:rPr>
              <w:t xml:space="preserve">, uniform, </w:t>
            </w:r>
            <w:r w:rsidR="00022F6D" w:rsidRPr="0024193B">
              <w:rPr>
                <w:sz w:val="20"/>
                <w:szCs w:val="20"/>
              </w:rPr>
              <w:t>and equipment</w:t>
            </w:r>
          </w:p>
          <w:p w:rsidR="00022F6D" w:rsidRPr="0024193B" w:rsidRDefault="00022F6D" w:rsidP="00971EB6">
            <w:pPr>
              <w:pStyle w:val="ListParagraph"/>
              <w:numPr>
                <w:ilvl w:val="0"/>
                <w:numId w:val="26"/>
              </w:numPr>
              <w:autoSpaceDE w:val="0"/>
              <w:autoSpaceDN w:val="0"/>
              <w:adjustRightInd w:val="0"/>
              <w:rPr>
                <w:sz w:val="20"/>
                <w:szCs w:val="20"/>
              </w:rPr>
            </w:pPr>
            <w:r w:rsidRPr="0024193B">
              <w:rPr>
                <w:sz w:val="20"/>
                <w:szCs w:val="20"/>
              </w:rPr>
              <w:t>Set and mark own learning, ensuring it is available on the VLE</w:t>
            </w:r>
          </w:p>
          <w:p w:rsidR="00834707" w:rsidRPr="0024193B" w:rsidRDefault="00D12618" w:rsidP="00971EB6">
            <w:pPr>
              <w:pStyle w:val="ListParagraph"/>
              <w:numPr>
                <w:ilvl w:val="0"/>
                <w:numId w:val="26"/>
              </w:numPr>
              <w:autoSpaceDE w:val="0"/>
              <w:autoSpaceDN w:val="0"/>
              <w:adjustRightInd w:val="0"/>
              <w:rPr>
                <w:sz w:val="20"/>
                <w:szCs w:val="20"/>
              </w:rPr>
            </w:pPr>
            <w:r w:rsidRPr="0024193B">
              <w:rPr>
                <w:sz w:val="20"/>
                <w:szCs w:val="20"/>
              </w:rPr>
              <w:t xml:space="preserve">Work closely with </w:t>
            </w:r>
            <w:r w:rsidR="0024193B" w:rsidRPr="0024193B">
              <w:rPr>
                <w:sz w:val="20"/>
                <w:szCs w:val="20"/>
              </w:rPr>
              <w:t xml:space="preserve">learning team colleagues to </w:t>
            </w:r>
            <w:r w:rsidRPr="0024193B">
              <w:rPr>
                <w:sz w:val="20"/>
                <w:szCs w:val="20"/>
              </w:rPr>
              <w:t>ensur</w:t>
            </w:r>
            <w:r w:rsidR="0024193B" w:rsidRPr="0024193B">
              <w:rPr>
                <w:sz w:val="20"/>
                <w:szCs w:val="20"/>
              </w:rPr>
              <w:t>e</w:t>
            </w:r>
            <w:r w:rsidRPr="0024193B">
              <w:rPr>
                <w:sz w:val="20"/>
                <w:szCs w:val="20"/>
              </w:rPr>
              <w:t xml:space="preserve"> continuity and progression for students</w:t>
            </w:r>
          </w:p>
          <w:p w:rsidR="00D71F23" w:rsidRPr="0024193B" w:rsidRDefault="00D12618" w:rsidP="00971EB6">
            <w:pPr>
              <w:pStyle w:val="ListParagraph"/>
              <w:numPr>
                <w:ilvl w:val="0"/>
                <w:numId w:val="26"/>
              </w:numPr>
              <w:jc w:val="both"/>
              <w:rPr>
                <w:b/>
                <w:sz w:val="20"/>
                <w:szCs w:val="20"/>
              </w:rPr>
            </w:pPr>
            <w:r w:rsidRPr="0024193B">
              <w:rPr>
                <w:sz w:val="20"/>
                <w:szCs w:val="20"/>
              </w:rPr>
              <w:t>Contribute to the corporate tasks of development</w:t>
            </w:r>
            <w:r w:rsidR="0024193B" w:rsidRPr="0024193B">
              <w:rPr>
                <w:sz w:val="20"/>
                <w:szCs w:val="20"/>
              </w:rPr>
              <w:t xml:space="preserve"> planning</w:t>
            </w:r>
            <w:r w:rsidRPr="0024193B">
              <w:rPr>
                <w:sz w:val="20"/>
                <w:szCs w:val="20"/>
              </w:rPr>
              <w:t>,</w:t>
            </w:r>
            <w:r w:rsidR="0024193B">
              <w:rPr>
                <w:sz w:val="20"/>
                <w:szCs w:val="20"/>
              </w:rPr>
              <w:t xml:space="preserve"> the writing of schemes of learning</w:t>
            </w:r>
            <w:r w:rsidR="0024193B" w:rsidRPr="0024193B">
              <w:rPr>
                <w:sz w:val="20"/>
                <w:szCs w:val="20"/>
              </w:rPr>
              <w:t xml:space="preserve">, </w:t>
            </w:r>
            <w:r w:rsidRPr="0024193B">
              <w:rPr>
                <w:sz w:val="20"/>
                <w:szCs w:val="20"/>
              </w:rPr>
              <w:t xml:space="preserve"> record keeping, monitoring, evaluation of lessons</w:t>
            </w:r>
            <w:r w:rsidR="00A8529F">
              <w:rPr>
                <w:sz w:val="20"/>
                <w:szCs w:val="20"/>
              </w:rPr>
              <w:t>, moderation of student work</w:t>
            </w:r>
            <w:r w:rsidRPr="0024193B">
              <w:rPr>
                <w:sz w:val="20"/>
                <w:szCs w:val="20"/>
              </w:rPr>
              <w:t xml:space="preserve"> and maintenance of materials</w:t>
            </w:r>
          </w:p>
          <w:p w:rsidR="0024193B" w:rsidRDefault="0024193B" w:rsidP="004C0666">
            <w:pPr>
              <w:jc w:val="both"/>
              <w:rPr>
                <w:b/>
                <w:sz w:val="20"/>
                <w:szCs w:val="20"/>
              </w:rPr>
            </w:pPr>
          </w:p>
          <w:p w:rsidR="006C4506" w:rsidRPr="00455AAC" w:rsidRDefault="00AC0EE4" w:rsidP="004C0666">
            <w:pPr>
              <w:jc w:val="both"/>
              <w:rPr>
                <w:b/>
                <w:sz w:val="20"/>
                <w:szCs w:val="20"/>
              </w:rPr>
            </w:pPr>
            <w:r>
              <w:rPr>
                <w:b/>
                <w:sz w:val="20"/>
                <w:szCs w:val="20"/>
              </w:rPr>
              <w:t>Student Progress</w:t>
            </w:r>
          </w:p>
          <w:p w:rsidR="00AC0EE4" w:rsidRDefault="00AC0EE4" w:rsidP="00971EB6">
            <w:pPr>
              <w:pStyle w:val="ListParagraph"/>
              <w:numPr>
                <w:ilvl w:val="0"/>
                <w:numId w:val="26"/>
              </w:numPr>
              <w:rPr>
                <w:rFonts w:eastAsia="Times New Roman"/>
                <w:sz w:val="20"/>
                <w:szCs w:val="20"/>
                <w:lang w:eastAsia="en-GB"/>
              </w:rPr>
            </w:pPr>
            <w:r w:rsidRPr="00AC0EE4">
              <w:rPr>
                <w:rFonts w:eastAsia="Times New Roman"/>
                <w:sz w:val="20"/>
                <w:szCs w:val="20"/>
                <w:lang w:eastAsia="en-GB"/>
              </w:rPr>
              <w:t xml:space="preserve">Demonstrate that, as a result of your teaching, your students achieve well relative to their prior attainment (and, for classroom teachers </w:t>
            </w:r>
            <w:r w:rsidR="00ED4DA5">
              <w:rPr>
                <w:rFonts w:eastAsia="Times New Roman"/>
                <w:sz w:val="20"/>
                <w:szCs w:val="20"/>
                <w:lang w:eastAsia="en-GB"/>
              </w:rPr>
              <w:t xml:space="preserve">eligible for </w:t>
            </w:r>
            <w:r w:rsidRPr="00AC0EE4">
              <w:rPr>
                <w:rFonts w:eastAsia="Times New Roman"/>
                <w:sz w:val="20"/>
                <w:szCs w:val="20"/>
                <w:lang w:eastAsia="en-GB"/>
              </w:rPr>
              <w:t>Threshold:  “making as good or better progress then similar students nationally.  This should  be shown in any relevant material tests or examinations</w:t>
            </w:r>
            <w:r w:rsidR="0024193B">
              <w:rPr>
                <w:rFonts w:eastAsia="Times New Roman"/>
                <w:sz w:val="20"/>
                <w:szCs w:val="20"/>
                <w:lang w:eastAsia="en-GB"/>
              </w:rPr>
              <w:t>”</w:t>
            </w:r>
            <w:r w:rsidRPr="00AC0EE4">
              <w:rPr>
                <w:rFonts w:eastAsia="Times New Roman"/>
                <w:sz w:val="20"/>
                <w:szCs w:val="20"/>
                <w:lang w:eastAsia="en-GB"/>
              </w:rPr>
              <w:t>)</w:t>
            </w:r>
          </w:p>
          <w:p w:rsidR="00DD06F5" w:rsidRPr="00AC0EE4" w:rsidRDefault="00861B3C" w:rsidP="00971EB6">
            <w:pPr>
              <w:pStyle w:val="ListParagraph"/>
              <w:numPr>
                <w:ilvl w:val="0"/>
                <w:numId w:val="26"/>
              </w:numPr>
              <w:rPr>
                <w:rFonts w:eastAsia="Times New Roman"/>
                <w:sz w:val="20"/>
                <w:szCs w:val="20"/>
                <w:lang w:eastAsia="en-GB"/>
              </w:rPr>
            </w:pPr>
            <w:r>
              <w:rPr>
                <w:rFonts w:eastAsia="Times New Roman"/>
                <w:sz w:val="20"/>
                <w:szCs w:val="20"/>
                <w:lang w:eastAsia="en-GB"/>
              </w:rPr>
              <w:t>As a form tutor nurture the students in your care providing</w:t>
            </w:r>
            <w:r w:rsidR="00DD06F5">
              <w:rPr>
                <w:rFonts w:eastAsia="Times New Roman"/>
                <w:sz w:val="20"/>
                <w:szCs w:val="20"/>
                <w:lang w:eastAsia="en-GB"/>
              </w:rPr>
              <w:t xml:space="preserve"> quality </w:t>
            </w:r>
            <w:r>
              <w:rPr>
                <w:rFonts w:eastAsia="Times New Roman"/>
                <w:sz w:val="20"/>
                <w:szCs w:val="20"/>
                <w:lang w:eastAsia="en-GB"/>
              </w:rPr>
              <w:t>support, advice and guidance and fostering positive relationships with parents.</w:t>
            </w:r>
          </w:p>
          <w:p w:rsidR="006C4506" w:rsidRPr="00455AAC" w:rsidRDefault="006C4506" w:rsidP="00836552">
            <w:pPr>
              <w:pStyle w:val="ListParagraph"/>
              <w:ind w:left="0"/>
              <w:jc w:val="both"/>
              <w:rPr>
                <w:b/>
                <w:sz w:val="20"/>
                <w:szCs w:val="20"/>
              </w:rPr>
            </w:pPr>
          </w:p>
          <w:p w:rsidR="006C4506" w:rsidRPr="00455AAC" w:rsidRDefault="00AC0EE4" w:rsidP="004C0666">
            <w:pPr>
              <w:jc w:val="both"/>
              <w:rPr>
                <w:b/>
                <w:sz w:val="20"/>
                <w:szCs w:val="20"/>
              </w:rPr>
            </w:pPr>
            <w:r>
              <w:rPr>
                <w:b/>
                <w:sz w:val="20"/>
                <w:szCs w:val="20"/>
              </w:rPr>
              <w:t>Wider Professional Effectiveness</w:t>
            </w:r>
          </w:p>
          <w:p w:rsidR="00AC0EE4" w:rsidRDefault="00AC0EE4" w:rsidP="00971EB6">
            <w:pPr>
              <w:numPr>
                <w:ilvl w:val="0"/>
                <w:numId w:val="26"/>
              </w:numPr>
              <w:rPr>
                <w:sz w:val="20"/>
                <w:szCs w:val="20"/>
              </w:rPr>
            </w:pPr>
            <w:r w:rsidRPr="00AC0EE4">
              <w:rPr>
                <w:sz w:val="20"/>
                <w:szCs w:val="20"/>
              </w:rPr>
              <w:t xml:space="preserve">Take responsibility for your own professional development and show how you use the outcomes to improve your students’ learning and your teaching. </w:t>
            </w:r>
          </w:p>
          <w:p w:rsidR="00A8529F" w:rsidRDefault="00A8529F" w:rsidP="00971EB6">
            <w:pPr>
              <w:numPr>
                <w:ilvl w:val="0"/>
                <w:numId w:val="26"/>
              </w:numPr>
              <w:rPr>
                <w:sz w:val="20"/>
                <w:szCs w:val="20"/>
              </w:rPr>
            </w:pPr>
            <w:r>
              <w:rPr>
                <w:sz w:val="20"/>
                <w:szCs w:val="20"/>
              </w:rPr>
              <w:t>Demonstrate high levels of emotional intelligence</w:t>
            </w:r>
          </w:p>
          <w:p w:rsidR="00AC0EE4" w:rsidRDefault="00AC0EE4" w:rsidP="00971EB6">
            <w:pPr>
              <w:numPr>
                <w:ilvl w:val="0"/>
                <w:numId w:val="26"/>
              </w:numPr>
              <w:rPr>
                <w:sz w:val="20"/>
                <w:szCs w:val="20"/>
              </w:rPr>
            </w:pPr>
            <w:r w:rsidRPr="00AC0EE4">
              <w:rPr>
                <w:sz w:val="20"/>
                <w:szCs w:val="20"/>
              </w:rPr>
              <w:t xml:space="preserve">Make an active contribution to the policies and aspirations of the school in order to enhance its effectiveness in securing high quality education </w:t>
            </w:r>
            <w:r w:rsidR="00971EB6">
              <w:rPr>
                <w:sz w:val="20"/>
                <w:szCs w:val="20"/>
              </w:rPr>
              <w:t>for all students</w:t>
            </w:r>
          </w:p>
          <w:p w:rsidR="00834707" w:rsidRPr="00A8529F" w:rsidRDefault="00971EB6" w:rsidP="00A8529F">
            <w:pPr>
              <w:pStyle w:val="ListParagraph"/>
              <w:numPr>
                <w:ilvl w:val="0"/>
                <w:numId w:val="26"/>
              </w:numPr>
              <w:spacing w:after="200" w:line="276" w:lineRule="auto"/>
              <w:jc w:val="both"/>
              <w:rPr>
                <w:sz w:val="20"/>
                <w:szCs w:val="20"/>
              </w:rPr>
            </w:pPr>
            <w:r>
              <w:rPr>
                <w:sz w:val="20"/>
                <w:szCs w:val="20"/>
              </w:rPr>
              <w:t>Ensure school safeguarding protocols are adhered to.</w:t>
            </w:r>
          </w:p>
        </w:tc>
      </w:tr>
      <w:tr w:rsidR="006C4506" w:rsidRPr="00455AAC" w:rsidTr="00D06A19">
        <w:tc>
          <w:tcPr>
            <w:tcW w:w="1809" w:type="dxa"/>
            <w:tcBorders>
              <w:top w:val="nil"/>
              <w:left w:val="nil"/>
              <w:bottom w:val="nil"/>
              <w:right w:val="single" w:sz="48" w:space="0" w:color="B6CBE4"/>
            </w:tcBorders>
            <w:shd w:val="clear" w:color="auto" w:fill="auto"/>
          </w:tcPr>
          <w:p w:rsidR="006C4506" w:rsidRPr="00455AAC" w:rsidRDefault="006C4506" w:rsidP="00FD255F">
            <w:pPr>
              <w:rPr>
                <w:b/>
                <w:color w:val="365F91" w:themeColor="accent1" w:themeShade="BF"/>
                <w:sz w:val="20"/>
                <w:szCs w:val="20"/>
              </w:rPr>
            </w:pPr>
            <w:r w:rsidRPr="00455AAC">
              <w:rPr>
                <w:b/>
                <w:color w:val="365F91" w:themeColor="accent1" w:themeShade="BF"/>
                <w:sz w:val="20"/>
                <w:szCs w:val="20"/>
              </w:rPr>
              <w:t>Competencies</w:t>
            </w:r>
          </w:p>
          <w:p w:rsidR="006C4506" w:rsidRPr="00455AAC" w:rsidRDefault="006C4506" w:rsidP="00FD255F">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rsidR="003C1080" w:rsidRPr="003C1080" w:rsidRDefault="003C1080" w:rsidP="003C1080">
            <w:pPr>
              <w:rPr>
                <w:rFonts w:eastAsia="Times New Roman"/>
                <w:b/>
                <w:sz w:val="20"/>
                <w:szCs w:val="20"/>
              </w:rPr>
            </w:pPr>
            <w:r w:rsidRPr="003C1080">
              <w:rPr>
                <w:rFonts w:eastAsia="Times New Roman"/>
                <w:b/>
                <w:sz w:val="20"/>
                <w:szCs w:val="20"/>
              </w:rPr>
              <w:t xml:space="preserve">Challenge &amp; Support: </w:t>
            </w:r>
            <w:r w:rsidRPr="003C1080">
              <w:rPr>
                <w:rFonts w:eastAsia="Times New Roman"/>
                <w:sz w:val="20"/>
                <w:szCs w:val="20"/>
              </w:rPr>
              <w:t xml:space="preserve">Level 2 - Says to </w:t>
            </w:r>
            <w:r>
              <w:rPr>
                <w:rFonts w:eastAsia="Times New Roman"/>
                <w:sz w:val="20"/>
                <w:szCs w:val="20"/>
              </w:rPr>
              <w:t>students</w:t>
            </w:r>
            <w:r w:rsidRPr="003C1080">
              <w:rPr>
                <w:rFonts w:eastAsia="Times New Roman"/>
                <w:sz w:val="20"/>
                <w:szCs w:val="20"/>
              </w:rPr>
              <w:t xml:space="preserve"> ‘You can do it’.  Builds self-esteem in </w:t>
            </w:r>
            <w:r>
              <w:rPr>
                <w:rFonts w:eastAsia="Times New Roman"/>
                <w:sz w:val="20"/>
                <w:szCs w:val="20"/>
              </w:rPr>
              <w:t>students</w:t>
            </w:r>
            <w:r w:rsidRPr="003C1080">
              <w:rPr>
                <w:rFonts w:eastAsia="Times New Roman"/>
                <w:sz w:val="20"/>
                <w:szCs w:val="20"/>
              </w:rPr>
              <w:t xml:space="preserve"> by, for example, setting tasks which will allow them to succeed, giving rewards which are valued, and praising them when they have done well.</w:t>
            </w:r>
          </w:p>
          <w:p w:rsidR="003C1080" w:rsidRPr="003C1080" w:rsidRDefault="003C1080" w:rsidP="003C1080">
            <w:pPr>
              <w:rPr>
                <w:rFonts w:eastAsia="Times New Roman"/>
                <w:b/>
                <w:sz w:val="20"/>
                <w:szCs w:val="20"/>
                <w:lang w:eastAsia="en-GB"/>
              </w:rPr>
            </w:pPr>
            <w:r w:rsidRPr="003C1080">
              <w:rPr>
                <w:rFonts w:eastAsia="Times New Roman"/>
                <w:b/>
                <w:sz w:val="20"/>
                <w:szCs w:val="20"/>
                <w:lang w:eastAsia="en-GB"/>
              </w:rPr>
              <w:t>Inspiring Trust and Confidence</w:t>
            </w:r>
            <w:r w:rsidRPr="003C1080">
              <w:rPr>
                <w:rFonts w:eastAsia="Times New Roman"/>
                <w:sz w:val="20"/>
                <w:szCs w:val="20"/>
                <w:lang w:eastAsia="en-GB"/>
              </w:rPr>
              <w:t>: Level 2 - Acts reliably, delivers promises consistently, actively contributes, gives personal view, objective review.</w:t>
            </w:r>
            <w:r w:rsidRPr="003C1080">
              <w:rPr>
                <w:rFonts w:eastAsia="Times New Roman"/>
                <w:b/>
                <w:sz w:val="20"/>
                <w:szCs w:val="20"/>
                <w:lang w:eastAsia="en-GB"/>
              </w:rPr>
              <w:t xml:space="preserve"> </w:t>
            </w:r>
          </w:p>
          <w:p w:rsidR="003C1080" w:rsidRPr="003C1080" w:rsidRDefault="003C1080" w:rsidP="003C1080">
            <w:pPr>
              <w:rPr>
                <w:rFonts w:eastAsia="Times New Roman"/>
                <w:sz w:val="20"/>
                <w:szCs w:val="20"/>
              </w:rPr>
            </w:pPr>
            <w:proofErr w:type="spellStart"/>
            <w:r w:rsidRPr="003C1080">
              <w:rPr>
                <w:rFonts w:eastAsia="Times New Roman"/>
                <w:b/>
                <w:sz w:val="20"/>
                <w:szCs w:val="20"/>
              </w:rPr>
              <w:t>Teamworking</w:t>
            </w:r>
            <w:proofErr w:type="spellEnd"/>
            <w:r w:rsidRPr="003C1080">
              <w:rPr>
                <w:rFonts w:eastAsia="Times New Roman"/>
                <w:b/>
                <w:sz w:val="20"/>
                <w:szCs w:val="20"/>
              </w:rPr>
              <w:t>:</w:t>
            </w:r>
            <w:r w:rsidRPr="003C1080">
              <w:rPr>
                <w:rFonts w:eastAsia="Times New Roman"/>
                <w:sz w:val="20"/>
                <w:szCs w:val="20"/>
              </w:rPr>
              <w:t xml:space="preserve"> Level 2 - Keeps colleagues informed and shares good ideas. Communicates effectively with parents about their children’s progress.</w:t>
            </w:r>
          </w:p>
          <w:p w:rsidR="003C1080" w:rsidRPr="003C1080" w:rsidRDefault="003C1080" w:rsidP="003C1080">
            <w:pPr>
              <w:rPr>
                <w:rFonts w:eastAsia="Times New Roman"/>
                <w:sz w:val="20"/>
                <w:szCs w:val="20"/>
              </w:rPr>
            </w:pPr>
            <w:r w:rsidRPr="003C1080">
              <w:rPr>
                <w:rFonts w:eastAsia="Times New Roman"/>
                <w:b/>
                <w:sz w:val="20"/>
                <w:szCs w:val="20"/>
              </w:rPr>
              <w:t xml:space="preserve">Drive for Improvement: </w:t>
            </w:r>
            <w:r w:rsidRPr="003C1080">
              <w:rPr>
                <w:rFonts w:eastAsia="Times New Roman"/>
                <w:sz w:val="20"/>
                <w:szCs w:val="20"/>
              </w:rPr>
              <w:t>Level 2 - Sets own standards and measures lessons against these in order to improve learning outcomes.  Reflects on what should be done better next time.</w:t>
            </w:r>
          </w:p>
          <w:p w:rsidR="003C1080" w:rsidRDefault="003C1080" w:rsidP="003C1080">
            <w:pPr>
              <w:rPr>
                <w:rFonts w:eastAsia="Times New Roman"/>
                <w:sz w:val="20"/>
                <w:szCs w:val="20"/>
                <w:lang w:eastAsia="en-GB"/>
              </w:rPr>
            </w:pPr>
            <w:r w:rsidRPr="003C1080">
              <w:rPr>
                <w:rFonts w:eastAsia="Times New Roman"/>
                <w:b/>
                <w:sz w:val="20"/>
                <w:szCs w:val="20"/>
                <w:lang w:eastAsia="en-GB"/>
              </w:rPr>
              <w:t>Analytical Thinking</w:t>
            </w:r>
            <w:r w:rsidRPr="003C1080">
              <w:rPr>
                <w:rFonts w:eastAsia="Times New Roman"/>
                <w:sz w:val="20"/>
                <w:szCs w:val="20"/>
                <w:lang w:eastAsia="en-GB"/>
              </w:rPr>
              <w:t>: Level 2 – Shows that he or she can analyse the reas</w:t>
            </w:r>
            <w:r w:rsidR="00AA3BD4">
              <w:rPr>
                <w:rFonts w:eastAsia="Times New Roman"/>
                <w:sz w:val="20"/>
                <w:szCs w:val="20"/>
                <w:lang w:eastAsia="en-GB"/>
              </w:rPr>
              <w:t xml:space="preserve">ons for actions and </w:t>
            </w:r>
            <w:r w:rsidR="00AA3BD4">
              <w:rPr>
                <w:rFonts w:eastAsia="Times New Roman"/>
                <w:sz w:val="20"/>
                <w:szCs w:val="20"/>
                <w:lang w:eastAsia="en-GB"/>
              </w:rPr>
              <w:lastRenderedPageBreak/>
              <w:t xml:space="preserve">behaviour. Analyses </w:t>
            </w:r>
            <w:r w:rsidRPr="003C1080">
              <w:rPr>
                <w:rFonts w:eastAsia="Times New Roman"/>
                <w:sz w:val="20"/>
                <w:szCs w:val="20"/>
                <w:lang w:eastAsia="en-GB"/>
              </w:rPr>
              <w:t xml:space="preserve">the reason for something.  Demonstrates an ability to think through an implication.  Prioritises. Makes clear, logical lesson plans, and structures coherent programmes of </w:t>
            </w:r>
            <w:r w:rsidR="00AA3BD4">
              <w:rPr>
                <w:rFonts w:eastAsia="Times New Roman"/>
                <w:sz w:val="20"/>
                <w:szCs w:val="20"/>
                <w:lang w:eastAsia="en-GB"/>
              </w:rPr>
              <w:t>learning</w:t>
            </w:r>
            <w:r w:rsidRPr="003C1080">
              <w:rPr>
                <w:rFonts w:eastAsia="Times New Roman"/>
                <w:sz w:val="20"/>
                <w:szCs w:val="20"/>
                <w:lang w:eastAsia="en-GB"/>
              </w:rPr>
              <w:t>.</w:t>
            </w:r>
          </w:p>
          <w:p w:rsidR="00A8529F" w:rsidRPr="00A8529F" w:rsidRDefault="00A8529F" w:rsidP="003C1080">
            <w:pPr>
              <w:rPr>
                <w:rFonts w:eastAsia="Times New Roman"/>
                <w:sz w:val="20"/>
                <w:szCs w:val="20"/>
                <w:lang w:eastAsia="en-GB"/>
              </w:rPr>
            </w:pPr>
          </w:p>
        </w:tc>
      </w:tr>
      <w:tr w:rsidR="006C4506" w:rsidRPr="00455AAC" w:rsidTr="00D06A19">
        <w:tc>
          <w:tcPr>
            <w:tcW w:w="1809" w:type="dxa"/>
            <w:tcBorders>
              <w:top w:val="nil"/>
              <w:left w:val="nil"/>
              <w:bottom w:val="nil"/>
              <w:right w:val="single" w:sz="48" w:space="0" w:color="D5E1EF"/>
            </w:tcBorders>
            <w:shd w:val="clear" w:color="auto" w:fill="auto"/>
          </w:tcPr>
          <w:p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lastRenderedPageBreak/>
              <w:t>Performance Measures</w:t>
            </w:r>
          </w:p>
          <w:p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rsidR="006C4506" w:rsidRDefault="006C4506" w:rsidP="004C0666">
            <w:pPr>
              <w:jc w:val="both"/>
              <w:rPr>
                <w:rFonts w:eastAsia="Times New Roman"/>
                <w:sz w:val="20"/>
                <w:szCs w:val="20"/>
                <w:lang w:eastAsia="en-GB"/>
              </w:rPr>
            </w:pPr>
            <w:r w:rsidRPr="00455AAC">
              <w:rPr>
                <w:rFonts w:eastAsia="Times New Roman"/>
                <w:sz w:val="20"/>
                <w:szCs w:val="20"/>
                <w:lang w:eastAsia="en-GB"/>
              </w:rPr>
              <w:t>There will be an annual review of performance which will include an assessment of progress towards achievement of objectives and an overall assessment of performance.  The review will be in the context of the teacher’s position in the profession (e.g., Main Scale/UPS/AST/ETS/ Leadership) and based on evidence collected by the teacher and reviewer throughout the year including teaching observation.</w:t>
            </w:r>
          </w:p>
          <w:p w:rsidR="004938F9" w:rsidRPr="00455AAC" w:rsidRDefault="004938F9" w:rsidP="004C0666">
            <w:pPr>
              <w:jc w:val="both"/>
              <w:rPr>
                <w:rFonts w:eastAsia="Times New Roman"/>
                <w:sz w:val="20"/>
                <w:szCs w:val="20"/>
                <w:lang w:eastAsia="en-GB"/>
              </w:rPr>
            </w:pPr>
          </w:p>
          <w:p w:rsidR="006C4506" w:rsidRPr="00455AAC" w:rsidRDefault="006C4506" w:rsidP="004C0666">
            <w:pPr>
              <w:jc w:val="both"/>
              <w:rPr>
                <w:sz w:val="20"/>
                <w:szCs w:val="20"/>
              </w:rPr>
            </w:pPr>
          </w:p>
        </w:tc>
      </w:tr>
      <w:tr w:rsidR="006C4506" w:rsidRPr="00455AAC" w:rsidTr="00D06A19">
        <w:trPr>
          <w:trHeight w:val="1343"/>
        </w:trPr>
        <w:tc>
          <w:tcPr>
            <w:tcW w:w="1809" w:type="dxa"/>
            <w:tcBorders>
              <w:top w:val="nil"/>
              <w:left w:val="nil"/>
              <w:bottom w:val="nil"/>
              <w:right w:val="single" w:sz="48" w:space="0" w:color="ECF1F8"/>
            </w:tcBorders>
            <w:shd w:val="clear" w:color="auto" w:fill="auto"/>
          </w:tcPr>
          <w:p w:rsidR="006C4506" w:rsidRPr="00455AAC" w:rsidRDefault="00836552"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Knowledge and Skills</w:t>
            </w:r>
          </w:p>
          <w:p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rsidR="00AA3BD4" w:rsidRPr="00AA3BD4" w:rsidRDefault="00AA3BD4" w:rsidP="00AA3BD4">
            <w:pPr>
              <w:rPr>
                <w:rFonts w:eastAsia="Times New Roman"/>
                <w:sz w:val="20"/>
                <w:szCs w:val="20"/>
                <w:lang w:eastAsia="en-GB"/>
              </w:rPr>
            </w:pPr>
            <w:r w:rsidRPr="00AA3BD4">
              <w:rPr>
                <w:rFonts w:eastAsia="Times New Roman"/>
                <w:sz w:val="20"/>
                <w:szCs w:val="20"/>
                <w:lang w:eastAsia="en-GB"/>
              </w:rPr>
              <w:t>Classroom teachers on the Main Pay Scale s</w:t>
            </w:r>
            <w:r>
              <w:rPr>
                <w:rFonts w:eastAsia="Times New Roman"/>
                <w:sz w:val="20"/>
                <w:szCs w:val="20"/>
                <w:lang w:eastAsia="en-GB"/>
              </w:rPr>
              <w:t xml:space="preserve">hould demonstrate knowledge and </w:t>
            </w:r>
            <w:r w:rsidRPr="00AA3BD4">
              <w:rPr>
                <w:rFonts w:eastAsia="Times New Roman"/>
                <w:sz w:val="20"/>
                <w:szCs w:val="20"/>
                <w:lang w:eastAsia="en-GB"/>
              </w:rPr>
              <w:t>understanding of:</w:t>
            </w:r>
          </w:p>
          <w:p w:rsidR="00AA3BD4" w:rsidRPr="00AA3BD4" w:rsidRDefault="00AA3BD4" w:rsidP="00AA3BD4">
            <w:pPr>
              <w:numPr>
                <w:ilvl w:val="0"/>
                <w:numId w:val="24"/>
              </w:numPr>
              <w:tabs>
                <w:tab w:val="clear" w:pos="360"/>
                <w:tab w:val="num" w:pos="960"/>
              </w:tabs>
              <w:rPr>
                <w:rFonts w:eastAsia="Times New Roman"/>
                <w:sz w:val="20"/>
                <w:szCs w:val="20"/>
                <w:lang w:eastAsia="en-GB"/>
              </w:rPr>
            </w:pPr>
            <w:r w:rsidRPr="00AA3BD4">
              <w:rPr>
                <w:rFonts w:eastAsia="Times New Roman"/>
                <w:sz w:val="20"/>
                <w:szCs w:val="20"/>
                <w:lang w:eastAsia="en-GB"/>
              </w:rPr>
              <w:t>Principles and practice of effective teaching and learning</w:t>
            </w:r>
          </w:p>
          <w:p w:rsidR="00AA3BD4" w:rsidRPr="00AA3BD4" w:rsidRDefault="00AA3BD4" w:rsidP="00AA3BD4">
            <w:pPr>
              <w:numPr>
                <w:ilvl w:val="0"/>
                <w:numId w:val="24"/>
              </w:numPr>
              <w:tabs>
                <w:tab w:val="clear" w:pos="360"/>
                <w:tab w:val="num" w:pos="960"/>
              </w:tabs>
              <w:rPr>
                <w:rFonts w:eastAsia="Times New Roman"/>
                <w:sz w:val="20"/>
                <w:szCs w:val="20"/>
                <w:lang w:eastAsia="en-GB"/>
              </w:rPr>
            </w:pPr>
            <w:r w:rsidRPr="00AA3BD4">
              <w:rPr>
                <w:rFonts w:eastAsia="Times New Roman"/>
                <w:sz w:val="20"/>
                <w:szCs w:val="20"/>
                <w:lang w:eastAsia="en-GB"/>
              </w:rPr>
              <w:t xml:space="preserve">Preparation of schemes of </w:t>
            </w:r>
            <w:r>
              <w:rPr>
                <w:rFonts w:eastAsia="Times New Roman"/>
                <w:sz w:val="20"/>
                <w:szCs w:val="20"/>
                <w:lang w:eastAsia="en-GB"/>
              </w:rPr>
              <w:t>learning</w:t>
            </w:r>
            <w:r w:rsidRPr="00AA3BD4">
              <w:rPr>
                <w:rFonts w:eastAsia="Times New Roman"/>
                <w:sz w:val="20"/>
                <w:szCs w:val="20"/>
                <w:lang w:eastAsia="en-GB"/>
              </w:rPr>
              <w:t xml:space="preserve"> and lessons</w:t>
            </w:r>
          </w:p>
          <w:p w:rsidR="00AA3BD4" w:rsidRPr="00AA3BD4" w:rsidRDefault="00AA3BD4" w:rsidP="00AA3BD4">
            <w:pPr>
              <w:numPr>
                <w:ilvl w:val="0"/>
                <w:numId w:val="24"/>
              </w:numPr>
              <w:tabs>
                <w:tab w:val="clear" w:pos="360"/>
                <w:tab w:val="num" w:pos="960"/>
              </w:tabs>
              <w:rPr>
                <w:rFonts w:eastAsia="Times New Roman"/>
                <w:sz w:val="20"/>
                <w:szCs w:val="20"/>
                <w:lang w:eastAsia="en-GB"/>
              </w:rPr>
            </w:pPr>
            <w:r>
              <w:rPr>
                <w:rFonts w:eastAsia="Times New Roman"/>
                <w:sz w:val="20"/>
                <w:szCs w:val="20"/>
                <w:lang w:eastAsia="en-GB"/>
              </w:rPr>
              <w:t>Their s</w:t>
            </w:r>
            <w:r w:rsidRPr="00AA3BD4">
              <w:rPr>
                <w:rFonts w:eastAsia="Times New Roman"/>
                <w:sz w:val="20"/>
                <w:szCs w:val="20"/>
                <w:lang w:eastAsia="en-GB"/>
              </w:rPr>
              <w:t>ubject/curriculum area(s)</w:t>
            </w:r>
          </w:p>
          <w:p w:rsidR="00AA3BD4" w:rsidRPr="00AA3BD4" w:rsidRDefault="00AA3BD4" w:rsidP="00AA3BD4">
            <w:pPr>
              <w:numPr>
                <w:ilvl w:val="0"/>
                <w:numId w:val="24"/>
              </w:numPr>
              <w:tabs>
                <w:tab w:val="clear" w:pos="360"/>
                <w:tab w:val="num" w:pos="960"/>
              </w:tabs>
              <w:rPr>
                <w:rFonts w:eastAsia="Times New Roman"/>
                <w:sz w:val="20"/>
                <w:szCs w:val="20"/>
                <w:lang w:eastAsia="en-GB"/>
              </w:rPr>
            </w:pPr>
            <w:r w:rsidRPr="00AA3BD4">
              <w:rPr>
                <w:rFonts w:eastAsia="Times New Roman"/>
                <w:sz w:val="20"/>
                <w:szCs w:val="20"/>
                <w:lang w:eastAsia="en-GB"/>
              </w:rPr>
              <w:t xml:space="preserve">The application of ICT to learning and teaching in </w:t>
            </w:r>
            <w:r>
              <w:rPr>
                <w:rFonts w:eastAsia="Times New Roman"/>
                <w:sz w:val="20"/>
                <w:szCs w:val="20"/>
                <w:lang w:eastAsia="en-GB"/>
              </w:rPr>
              <w:t xml:space="preserve">their </w:t>
            </w:r>
            <w:r w:rsidRPr="00AA3BD4">
              <w:rPr>
                <w:rFonts w:eastAsia="Times New Roman"/>
                <w:sz w:val="20"/>
                <w:szCs w:val="20"/>
                <w:lang w:eastAsia="en-GB"/>
              </w:rPr>
              <w:t>subject/curriculum area(s)</w:t>
            </w:r>
          </w:p>
          <w:p w:rsidR="00AA3BD4" w:rsidRDefault="00AA3BD4" w:rsidP="00AA3BD4">
            <w:pPr>
              <w:numPr>
                <w:ilvl w:val="0"/>
                <w:numId w:val="24"/>
              </w:numPr>
              <w:tabs>
                <w:tab w:val="clear" w:pos="360"/>
                <w:tab w:val="num" w:pos="960"/>
              </w:tabs>
              <w:rPr>
                <w:rFonts w:eastAsia="Times New Roman"/>
                <w:sz w:val="20"/>
                <w:szCs w:val="20"/>
                <w:lang w:eastAsia="en-GB"/>
              </w:rPr>
            </w:pPr>
            <w:r w:rsidRPr="00AA3BD4">
              <w:rPr>
                <w:rFonts w:eastAsia="Times New Roman"/>
                <w:sz w:val="20"/>
                <w:szCs w:val="20"/>
                <w:lang w:eastAsia="en-GB"/>
              </w:rPr>
              <w:t>The importance of Continuing Professional Development to enhance effectiveness of learning and teaching and for career development</w:t>
            </w:r>
          </w:p>
          <w:p w:rsidR="00971EB6" w:rsidRPr="00AA3BD4" w:rsidRDefault="00971EB6" w:rsidP="00AA3BD4">
            <w:pPr>
              <w:numPr>
                <w:ilvl w:val="0"/>
                <w:numId w:val="24"/>
              </w:numPr>
              <w:tabs>
                <w:tab w:val="clear" w:pos="360"/>
                <w:tab w:val="num" w:pos="960"/>
              </w:tabs>
              <w:rPr>
                <w:rFonts w:eastAsia="Times New Roman"/>
                <w:sz w:val="20"/>
                <w:szCs w:val="20"/>
                <w:lang w:eastAsia="en-GB"/>
              </w:rPr>
            </w:pPr>
            <w:r>
              <w:rPr>
                <w:rFonts w:eastAsia="Times New Roman"/>
                <w:sz w:val="20"/>
                <w:szCs w:val="20"/>
                <w:lang w:eastAsia="en-GB"/>
              </w:rPr>
              <w:t>Safeguarding protocols and procedures</w:t>
            </w:r>
          </w:p>
          <w:p w:rsidR="004C0666" w:rsidRPr="00455AAC" w:rsidRDefault="004C0666" w:rsidP="00F2531E">
            <w:pPr>
              <w:jc w:val="both"/>
              <w:rPr>
                <w:rFonts w:eastAsia="Times New Roman"/>
                <w:sz w:val="20"/>
                <w:szCs w:val="20"/>
                <w:lang w:eastAsia="en-GB"/>
              </w:rPr>
            </w:pPr>
          </w:p>
          <w:p w:rsidR="006C4506" w:rsidRDefault="00971EB6" w:rsidP="004C0666">
            <w:pPr>
              <w:jc w:val="both"/>
              <w:rPr>
                <w:rFonts w:eastAsia="Times New Roman"/>
                <w:sz w:val="20"/>
                <w:szCs w:val="20"/>
                <w:lang w:eastAsia="en-GB"/>
              </w:rPr>
            </w:pPr>
            <w:r>
              <w:rPr>
                <w:rFonts w:eastAsia="Times New Roman"/>
                <w:sz w:val="20"/>
                <w:szCs w:val="20"/>
                <w:lang w:eastAsia="en-GB"/>
              </w:rPr>
              <w:t xml:space="preserve">And </w:t>
            </w:r>
            <w:r w:rsidR="004C0666" w:rsidRPr="00455AAC">
              <w:rPr>
                <w:rFonts w:eastAsia="Times New Roman"/>
                <w:sz w:val="20"/>
                <w:szCs w:val="20"/>
                <w:lang w:eastAsia="en-GB"/>
              </w:rPr>
              <w:t xml:space="preserve">work closely with the </w:t>
            </w:r>
            <w:r w:rsidR="00AA3BD4">
              <w:rPr>
                <w:rFonts w:eastAsia="Times New Roman"/>
                <w:sz w:val="20"/>
                <w:szCs w:val="20"/>
                <w:lang w:eastAsia="en-GB"/>
              </w:rPr>
              <w:t>Lead Teacher and DLT</w:t>
            </w:r>
          </w:p>
          <w:p w:rsidR="004938F9" w:rsidRDefault="004938F9" w:rsidP="004C0666">
            <w:pPr>
              <w:jc w:val="both"/>
              <w:rPr>
                <w:rFonts w:eastAsia="Times New Roman"/>
                <w:sz w:val="20"/>
                <w:szCs w:val="20"/>
                <w:lang w:eastAsia="en-GB"/>
              </w:rPr>
            </w:pPr>
          </w:p>
          <w:p w:rsidR="00E92932" w:rsidRPr="00F2531E" w:rsidRDefault="00E92932" w:rsidP="004C0666">
            <w:pPr>
              <w:jc w:val="both"/>
              <w:rPr>
                <w:rFonts w:eastAsia="Times New Roman"/>
                <w:sz w:val="20"/>
                <w:szCs w:val="20"/>
                <w:lang w:eastAsia="en-GB"/>
              </w:rPr>
            </w:pPr>
          </w:p>
        </w:tc>
      </w:tr>
    </w:tbl>
    <w:p w:rsidR="00D06A19" w:rsidRDefault="00D06A19" w:rsidP="006B4035">
      <w:pPr>
        <w:jc w:val="both"/>
        <w:rPr>
          <w:sz w:val="20"/>
          <w:szCs w:val="20"/>
        </w:rPr>
      </w:pPr>
    </w:p>
    <w:p w:rsidR="000E7D29" w:rsidRDefault="000E7D29" w:rsidP="006B4035">
      <w:pPr>
        <w:jc w:val="both"/>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sz w:val="20"/>
          <w:szCs w:val="20"/>
        </w:rPr>
        <w:t>The duties/activities may be varied to meet the changing demands of the school at the reasonable discretion of the Head Teacher and following consultation.  This job description does not form part of the contract of employment.</w:t>
      </w:r>
    </w:p>
    <w:p w:rsidR="006B4035" w:rsidRPr="006B4035" w:rsidRDefault="006B4035" w:rsidP="006B4035">
      <w:pPr>
        <w:jc w:val="both"/>
        <w:rPr>
          <w:sz w:val="16"/>
          <w:szCs w:val="16"/>
        </w:rPr>
      </w:pPr>
      <w:r w:rsidRPr="006B4035">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rsidR="00355CFA" w:rsidRPr="006F0514" w:rsidRDefault="00355CFA" w:rsidP="00355CFA">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Name:</w:t>
      </w:r>
      <w:r w:rsidR="00CE2BE9">
        <w:rPr>
          <w:rFonts w:eastAsia="Times New Roman"/>
          <w:b/>
          <w:color w:val="365F91" w:themeColor="accent1" w:themeShade="BF"/>
          <w:sz w:val="20"/>
          <w:szCs w:val="20"/>
          <w:lang w:eastAsia="en-GB"/>
        </w:rPr>
        <w:t xml:space="preserve"> </w:t>
      </w:r>
    </w:p>
    <w:p w:rsidR="009F18B7" w:rsidRPr="00D06A19"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D20AC2">
        <w:rPr>
          <w:b/>
          <w:color w:val="365F91" w:themeColor="accent1" w:themeShade="BF"/>
          <w:sz w:val="20"/>
          <w:szCs w:val="20"/>
        </w:rPr>
        <w:t>Sandwich Technology Teachers Pay Spine</w:t>
      </w:r>
      <w:bookmarkStart w:id="0" w:name="_GoBack"/>
      <w:bookmarkEnd w:id="0"/>
    </w:p>
    <w:p w:rsidR="009F18B7" w:rsidRPr="00455AAC"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p>
    <w:p w:rsidR="00AB56D1" w:rsidRPr="00455AAC"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3F" w:rsidRDefault="0090343F" w:rsidP="00226AED">
      <w:pPr>
        <w:spacing w:after="0" w:line="240" w:lineRule="auto"/>
      </w:pPr>
      <w:r>
        <w:separator/>
      </w:r>
    </w:p>
  </w:endnote>
  <w:endnote w:type="continuationSeparator" w:id="0">
    <w:p w:rsidR="0090343F" w:rsidRDefault="0090343F"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ceanSansM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3F" w:rsidRDefault="0090343F" w:rsidP="00226AED">
      <w:pPr>
        <w:spacing w:after="0" w:line="240" w:lineRule="auto"/>
      </w:pPr>
      <w:r>
        <w:separator/>
      </w:r>
    </w:p>
  </w:footnote>
  <w:footnote w:type="continuationSeparator" w:id="0">
    <w:p w:rsidR="0090343F" w:rsidRDefault="0090343F" w:rsidP="0022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ED" w:rsidRDefault="0022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25"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26"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6"/>
  </w:num>
  <w:num w:numId="3">
    <w:abstractNumId w:val="16"/>
  </w:num>
  <w:num w:numId="4">
    <w:abstractNumId w:val="10"/>
  </w:num>
  <w:num w:numId="5">
    <w:abstractNumId w:val="4"/>
  </w:num>
  <w:num w:numId="6">
    <w:abstractNumId w:val="1"/>
  </w:num>
  <w:num w:numId="7">
    <w:abstractNumId w:val="3"/>
  </w:num>
  <w:num w:numId="8">
    <w:abstractNumId w:val="19"/>
  </w:num>
  <w:num w:numId="9">
    <w:abstractNumId w:val="22"/>
  </w:num>
  <w:num w:numId="10">
    <w:abstractNumId w:val="6"/>
  </w:num>
  <w:num w:numId="11">
    <w:abstractNumId w:val="15"/>
  </w:num>
  <w:num w:numId="12">
    <w:abstractNumId w:val="8"/>
  </w:num>
  <w:num w:numId="13">
    <w:abstractNumId w:val="20"/>
  </w:num>
  <w:num w:numId="14">
    <w:abstractNumId w:val="25"/>
  </w:num>
  <w:num w:numId="15">
    <w:abstractNumId w:val="12"/>
  </w:num>
  <w:num w:numId="16">
    <w:abstractNumId w:val="5"/>
  </w:num>
  <w:num w:numId="17">
    <w:abstractNumId w:val="21"/>
  </w:num>
  <w:num w:numId="18">
    <w:abstractNumId w:val="24"/>
  </w:num>
  <w:num w:numId="19">
    <w:abstractNumId w:val="23"/>
  </w:num>
  <w:num w:numId="20">
    <w:abstractNumId w:val="9"/>
  </w:num>
  <w:num w:numId="21">
    <w:abstractNumId w:val="11"/>
  </w:num>
  <w:num w:numId="22">
    <w:abstractNumId w:val="7"/>
  </w:num>
  <w:num w:numId="23">
    <w:abstractNumId w:val="13"/>
  </w:num>
  <w:num w:numId="24">
    <w:abstractNumId w:val="17"/>
  </w:num>
  <w:num w:numId="25">
    <w:abstractNumId w:val="18"/>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E7"/>
    <w:rsid w:val="00022F6D"/>
    <w:rsid w:val="000276CB"/>
    <w:rsid w:val="00044657"/>
    <w:rsid w:val="00046E2E"/>
    <w:rsid w:val="000D04C9"/>
    <w:rsid w:val="000E398D"/>
    <w:rsid w:val="000E7D29"/>
    <w:rsid w:val="001030B8"/>
    <w:rsid w:val="00136329"/>
    <w:rsid w:val="00193C77"/>
    <w:rsid w:val="001B63BC"/>
    <w:rsid w:val="001C7643"/>
    <w:rsid w:val="001D4FD3"/>
    <w:rsid w:val="00226AED"/>
    <w:rsid w:val="0024193B"/>
    <w:rsid w:val="002A316C"/>
    <w:rsid w:val="002D154A"/>
    <w:rsid w:val="002D33CC"/>
    <w:rsid w:val="002D7457"/>
    <w:rsid w:val="00355CFA"/>
    <w:rsid w:val="00370DA5"/>
    <w:rsid w:val="00386051"/>
    <w:rsid w:val="0039223B"/>
    <w:rsid w:val="003B3C9A"/>
    <w:rsid w:val="003C1080"/>
    <w:rsid w:val="003E6BE3"/>
    <w:rsid w:val="0041610F"/>
    <w:rsid w:val="00455AAC"/>
    <w:rsid w:val="004938F9"/>
    <w:rsid w:val="004C0666"/>
    <w:rsid w:val="004E3212"/>
    <w:rsid w:val="00501841"/>
    <w:rsid w:val="00586FDE"/>
    <w:rsid w:val="005D53F6"/>
    <w:rsid w:val="0060547F"/>
    <w:rsid w:val="00664A51"/>
    <w:rsid w:val="00690322"/>
    <w:rsid w:val="006A06AE"/>
    <w:rsid w:val="006B4035"/>
    <w:rsid w:val="006C4506"/>
    <w:rsid w:val="006F0514"/>
    <w:rsid w:val="0077384A"/>
    <w:rsid w:val="007E0001"/>
    <w:rsid w:val="007E6429"/>
    <w:rsid w:val="00834707"/>
    <w:rsid w:val="00836552"/>
    <w:rsid w:val="00861B3C"/>
    <w:rsid w:val="0090343F"/>
    <w:rsid w:val="00971EB6"/>
    <w:rsid w:val="009F18B7"/>
    <w:rsid w:val="00A436FE"/>
    <w:rsid w:val="00A542C4"/>
    <w:rsid w:val="00A61141"/>
    <w:rsid w:val="00A8529F"/>
    <w:rsid w:val="00A90F9E"/>
    <w:rsid w:val="00AA3BD4"/>
    <w:rsid w:val="00AB5608"/>
    <w:rsid w:val="00AB56D1"/>
    <w:rsid w:val="00AC0EE4"/>
    <w:rsid w:val="00BD197F"/>
    <w:rsid w:val="00C332F4"/>
    <w:rsid w:val="00CC5DF7"/>
    <w:rsid w:val="00CE2BE9"/>
    <w:rsid w:val="00D06A19"/>
    <w:rsid w:val="00D12618"/>
    <w:rsid w:val="00D20AC2"/>
    <w:rsid w:val="00D249A7"/>
    <w:rsid w:val="00D71F23"/>
    <w:rsid w:val="00DA5BAA"/>
    <w:rsid w:val="00DD06F5"/>
    <w:rsid w:val="00E13175"/>
    <w:rsid w:val="00E52EFB"/>
    <w:rsid w:val="00E92932"/>
    <w:rsid w:val="00E92E26"/>
    <w:rsid w:val="00EB7FE7"/>
    <w:rsid w:val="00ED4DA5"/>
    <w:rsid w:val="00EE19E4"/>
    <w:rsid w:val="00F253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CF728E"/>
  <w15:docId w15:val="{6D6E8D56-E47D-4D75-AEAE-3EF48647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06D3-8F09-4D06-9471-CE51DD57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Gomez</dc:creator>
  <cp:lastModifiedBy>Janette Foster</cp:lastModifiedBy>
  <cp:revision>4</cp:revision>
  <cp:lastPrinted>2011-05-26T12:44:00Z</cp:lastPrinted>
  <dcterms:created xsi:type="dcterms:W3CDTF">2013-09-18T07:36:00Z</dcterms:created>
  <dcterms:modified xsi:type="dcterms:W3CDTF">2019-03-15T10:26:00Z</dcterms:modified>
</cp:coreProperties>
</file>