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632A" w14:textId="77777777" w:rsidR="00A40B7F" w:rsidRDefault="00A40B7F">
      <w:pPr>
        <w:spacing w:after="0" w:line="259" w:lineRule="auto"/>
        <w:ind w:left="-170" w:right="-497" w:firstLine="0"/>
        <w:rPr>
          <w:noProof/>
        </w:rPr>
      </w:pPr>
    </w:p>
    <w:p w14:paraId="541B34E1" w14:textId="34001819" w:rsidR="00A40B7F" w:rsidRDefault="00A40B7F">
      <w:pPr>
        <w:spacing w:after="0" w:line="259" w:lineRule="auto"/>
        <w:ind w:left="-170" w:right="-497" w:firstLine="0"/>
        <w:rPr>
          <w:noProof/>
        </w:rPr>
      </w:pPr>
    </w:p>
    <w:p w14:paraId="02A94802" w14:textId="333C2ECC" w:rsidR="00A40B7F" w:rsidRDefault="00A40B7F">
      <w:pPr>
        <w:spacing w:after="0" w:line="259" w:lineRule="auto"/>
        <w:ind w:left="-170" w:right="-497" w:firstLine="0"/>
        <w:rPr>
          <w:noProof/>
        </w:rPr>
      </w:pPr>
    </w:p>
    <w:p w14:paraId="26DC1930" w14:textId="64BEFF15" w:rsidR="00A40B7F" w:rsidRDefault="00A40B7F">
      <w:pPr>
        <w:spacing w:after="0" w:line="259" w:lineRule="auto"/>
        <w:ind w:left="-170" w:right="-497" w:firstLine="0"/>
        <w:rPr>
          <w:noProof/>
        </w:rPr>
      </w:pPr>
    </w:p>
    <w:p w14:paraId="0E4CAEC2" w14:textId="2ED9120F" w:rsidR="00A40B7F" w:rsidRDefault="00A40B7F">
      <w:pPr>
        <w:spacing w:after="0" w:line="259" w:lineRule="auto"/>
        <w:ind w:left="-170" w:right="-497" w:firstLine="0"/>
        <w:rPr>
          <w:noProof/>
        </w:rPr>
      </w:pPr>
    </w:p>
    <w:p w14:paraId="2A9C1F95" w14:textId="53D4D746" w:rsidR="00A40B7F" w:rsidRDefault="004837EE" w:rsidP="00A40B7F">
      <w:pPr>
        <w:spacing w:after="0" w:line="259" w:lineRule="auto"/>
        <w:ind w:left="-170" w:right="-497" w:firstLine="0"/>
        <w:jc w:val="center"/>
        <w:rPr>
          <w:rFonts w:ascii="ITC Avant Garde Gothic Book" w:hAnsi="ITC Avant Garde Gothic Book"/>
          <w:b/>
          <w:bCs/>
          <w:noProof/>
          <w:sz w:val="96"/>
          <w:szCs w:val="96"/>
        </w:rPr>
      </w:pPr>
      <w:r>
        <w:rPr>
          <w:noProof/>
        </w:rPr>
        <w:drawing>
          <wp:inline distT="0" distB="0" distL="0" distR="0" wp14:anchorId="27537F75" wp14:editId="3AAD5E41">
            <wp:extent cx="5891530" cy="2226310"/>
            <wp:effectExtent l="0" t="0" r="0" b="2540"/>
            <wp:docPr id="16172537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53762" name="Picture 1" descr="A close-up of a logo&#10;&#10;Description automatically generated"/>
                    <pic:cNvPicPr/>
                  </pic:nvPicPr>
                  <pic:blipFill>
                    <a:blip r:embed="rId5"/>
                    <a:stretch>
                      <a:fillRect/>
                    </a:stretch>
                  </pic:blipFill>
                  <pic:spPr>
                    <a:xfrm>
                      <a:off x="0" y="0"/>
                      <a:ext cx="5891530" cy="2226310"/>
                    </a:xfrm>
                    <a:prstGeom prst="rect">
                      <a:avLst/>
                    </a:prstGeom>
                  </pic:spPr>
                </pic:pic>
              </a:graphicData>
            </a:graphic>
          </wp:inline>
        </w:drawing>
      </w:r>
    </w:p>
    <w:p w14:paraId="69C7081D" w14:textId="77777777" w:rsidR="00915236" w:rsidRDefault="00915236" w:rsidP="00A40B7F">
      <w:pPr>
        <w:spacing w:after="0" w:line="259" w:lineRule="auto"/>
        <w:ind w:left="-170" w:right="-497" w:firstLine="0"/>
        <w:jc w:val="center"/>
        <w:rPr>
          <w:rFonts w:ascii="ITC Avant Garde Gothic Book" w:hAnsi="ITC Avant Garde Gothic Book"/>
          <w:b/>
          <w:bCs/>
          <w:noProof/>
          <w:sz w:val="96"/>
          <w:szCs w:val="96"/>
        </w:rPr>
      </w:pPr>
    </w:p>
    <w:p w14:paraId="39E6EC68" w14:textId="138F222B" w:rsidR="00A40B7F" w:rsidRPr="003E0637" w:rsidRDefault="00A40B7F" w:rsidP="003E0637">
      <w:pPr>
        <w:spacing w:after="0" w:line="259" w:lineRule="auto"/>
        <w:ind w:left="-170" w:right="-497" w:firstLine="0"/>
        <w:jc w:val="center"/>
        <w:rPr>
          <w:rFonts w:ascii="Poppins Light" w:hAnsi="Poppins Light" w:cs="Poppins Light"/>
          <w:b/>
          <w:bCs/>
          <w:noProof/>
          <w:sz w:val="72"/>
          <w:szCs w:val="72"/>
        </w:rPr>
      </w:pPr>
      <w:r w:rsidRPr="003E0637">
        <w:rPr>
          <w:rFonts w:ascii="Poppins Light" w:hAnsi="Poppins Light" w:cs="Poppins Light"/>
          <w:b/>
          <w:bCs/>
          <w:noProof/>
          <w:sz w:val="72"/>
          <w:szCs w:val="72"/>
        </w:rPr>
        <w:t>Recruitment of</w:t>
      </w:r>
    </w:p>
    <w:p w14:paraId="58968B29" w14:textId="0C2D1E0F" w:rsidR="00A40B7F" w:rsidRPr="003E0637" w:rsidRDefault="00A40B7F" w:rsidP="003E0637">
      <w:pPr>
        <w:spacing w:after="0" w:line="259" w:lineRule="auto"/>
        <w:ind w:left="-170" w:right="-497" w:firstLine="0"/>
        <w:jc w:val="center"/>
        <w:rPr>
          <w:rFonts w:ascii="Poppins Light" w:hAnsi="Poppins Light" w:cs="Poppins Light"/>
          <w:b/>
          <w:bCs/>
          <w:noProof/>
          <w:sz w:val="72"/>
          <w:szCs w:val="72"/>
        </w:rPr>
      </w:pPr>
      <w:r w:rsidRPr="003E0637">
        <w:rPr>
          <w:rFonts w:ascii="Poppins Light" w:hAnsi="Poppins Light" w:cs="Poppins Light"/>
          <w:b/>
          <w:bCs/>
          <w:noProof/>
          <w:sz w:val="72"/>
          <w:szCs w:val="72"/>
        </w:rPr>
        <w:t>Ex-Offenders Policy</w:t>
      </w:r>
    </w:p>
    <w:p w14:paraId="2C4D332F" w14:textId="28B15AC2" w:rsidR="00A40B7F" w:rsidRPr="003E0637" w:rsidRDefault="00A40B7F" w:rsidP="003E0637">
      <w:pPr>
        <w:spacing w:after="0" w:line="259" w:lineRule="auto"/>
        <w:ind w:left="-170" w:right="-497" w:firstLine="0"/>
        <w:jc w:val="both"/>
        <w:rPr>
          <w:rFonts w:ascii="Poppins Light" w:hAnsi="Poppins Light" w:cs="Poppins Light"/>
          <w:noProof/>
        </w:rPr>
      </w:pPr>
    </w:p>
    <w:p w14:paraId="36F37F4C" w14:textId="366750A4" w:rsidR="00A40B7F" w:rsidRPr="003E0637" w:rsidRDefault="00A40B7F" w:rsidP="003E0637">
      <w:pPr>
        <w:spacing w:after="0" w:line="259" w:lineRule="auto"/>
        <w:ind w:left="-170" w:right="-497" w:firstLine="0"/>
        <w:jc w:val="both"/>
        <w:rPr>
          <w:rFonts w:ascii="Poppins Light" w:hAnsi="Poppins Light" w:cs="Poppins Light"/>
          <w:noProof/>
        </w:rPr>
      </w:pPr>
    </w:p>
    <w:p w14:paraId="348D68BD" w14:textId="2FF7E73D" w:rsidR="00A40B7F" w:rsidRPr="003E0637" w:rsidRDefault="00A40B7F" w:rsidP="003E0637">
      <w:pPr>
        <w:spacing w:after="0" w:line="259" w:lineRule="auto"/>
        <w:ind w:left="-170" w:right="-497" w:firstLine="0"/>
        <w:jc w:val="both"/>
        <w:rPr>
          <w:rFonts w:ascii="Poppins Light" w:hAnsi="Poppins Light" w:cs="Poppins Light"/>
          <w:noProof/>
        </w:rPr>
      </w:pPr>
    </w:p>
    <w:p w14:paraId="546EDB10" w14:textId="2CEC40DD" w:rsidR="00A40B7F" w:rsidRPr="003E0637" w:rsidRDefault="003E0637" w:rsidP="003E0637">
      <w:pPr>
        <w:spacing w:after="0" w:line="259" w:lineRule="auto"/>
        <w:ind w:left="-170" w:right="-497" w:firstLine="0"/>
        <w:jc w:val="center"/>
        <w:rPr>
          <w:rFonts w:ascii="Poppins Light" w:hAnsi="Poppins Light" w:cs="Poppins Light"/>
          <w:noProof/>
          <w:sz w:val="36"/>
          <w:szCs w:val="32"/>
        </w:rPr>
      </w:pPr>
      <w:r w:rsidRPr="003E0637">
        <w:rPr>
          <w:rFonts w:ascii="Poppins Light" w:hAnsi="Poppins Light" w:cs="Poppins Light"/>
          <w:noProof/>
          <w:sz w:val="36"/>
          <w:szCs w:val="32"/>
        </w:rPr>
        <w:t>This policy has been ado</w:t>
      </w:r>
      <w:r w:rsidR="00431C9D">
        <w:rPr>
          <w:rFonts w:ascii="Poppins Light" w:hAnsi="Poppins Light" w:cs="Poppins Light"/>
          <w:noProof/>
          <w:sz w:val="36"/>
          <w:szCs w:val="32"/>
        </w:rPr>
        <w:t>p</w:t>
      </w:r>
      <w:r w:rsidRPr="003E0637">
        <w:rPr>
          <w:rFonts w:ascii="Poppins Light" w:hAnsi="Poppins Light" w:cs="Poppins Light"/>
          <w:noProof/>
          <w:sz w:val="36"/>
          <w:szCs w:val="32"/>
        </w:rPr>
        <w:t>ted by all schools within The Golden Thread Alliance.</w:t>
      </w:r>
    </w:p>
    <w:p w14:paraId="3AC58E36" w14:textId="47ED82E3" w:rsidR="00A40B7F" w:rsidRPr="003E0637" w:rsidRDefault="00A40B7F" w:rsidP="003E0637">
      <w:pPr>
        <w:spacing w:after="0" w:line="259" w:lineRule="auto"/>
        <w:ind w:left="-170" w:right="-497" w:firstLine="0"/>
        <w:jc w:val="both"/>
        <w:rPr>
          <w:rFonts w:ascii="Poppins Light" w:hAnsi="Poppins Light" w:cs="Poppins Light"/>
          <w:noProof/>
        </w:rPr>
      </w:pPr>
    </w:p>
    <w:p w14:paraId="18408484" w14:textId="7E286B28" w:rsidR="00A40B7F" w:rsidRPr="003E0637" w:rsidRDefault="00A40B7F" w:rsidP="003E0637">
      <w:pPr>
        <w:spacing w:after="0" w:line="259" w:lineRule="auto"/>
        <w:ind w:left="0" w:right="-497" w:firstLine="0"/>
        <w:jc w:val="both"/>
        <w:rPr>
          <w:rFonts w:ascii="Poppins Light" w:hAnsi="Poppins Light" w:cs="Poppins Light"/>
          <w:noProof/>
        </w:rPr>
      </w:pPr>
    </w:p>
    <w:tbl>
      <w:tblPr>
        <w:tblStyle w:val="TableGrid"/>
        <w:tblW w:w="0" w:type="auto"/>
        <w:jc w:val="center"/>
        <w:tblLook w:val="04A0" w:firstRow="1" w:lastRow="0" w:firstColumn="1" w:lastColumn="0" w:noHBand="0" w:noVBand="1"/>
      </w:tblPr>
      <w:tblGrid>
        <w:gridCol w:w="2484"/>
        <w:gridCol w:w="2477"/>
      </w:tblGrid>
      <w:tr w:rsidR="003E0637" w:rsidRPr="003E0637" w14:paraId="5C36B170" w14:textId="77777777" w:rsidTr="003E0637">
        <w:trPr>
          <w:jc w:val="center"/>
        </w:trPr>
        <w:tc>
          <w:tcPr>
            <w:tcW w:w="2484" w:type="dxa"/>
          </w:tcPr>
          <w:p w14:paraId="4CE15A49" w14:textId="1AFA5B29" w:rsidR="003E0637" w:rsidRPr="003E0637" w:rsidRDefault="003E0637" w:rsidP="003E0637">
            <w:pPr>
              <w:spacing w:after="0" w:line="259" w:lineRule="auto"/>
              <w:ind w:left="0" w:right="-497" w:firstLine="0"/>
              <w:jc w:val="both"/>
              <w:rPr>
                <w:rFonts w:ascii="Poppins Light" w:hAnsi="Poppins Light" w:cs="Poppins Light"/>
                <w:noProof/>
              </w:rPr>
            </w:pPr>
            <w:r w:rsidRPr="003E0637">
              <w:rPr>
                <w:rFonts w:ascii="Poppins Light" w:hAnsi="Poppins Light" w:cs="Poppins Light"/>
                <w:noProof/>
              </w:rPr>
              <w:t>Date Reviewed</w:t>
            </w:r>
          </w:p>
        </w:tc>
        <w:tc>
          <w:tcPr>
            <w:tcW w:w="2477" w:type="dxa"/>
          </w:tcPr>
          <w:p w14:paraId="7C51765C" w14:textId="7371256E" w:rsidR="003E0637" w:rsidRPr="003E0637" w:rsidRDefault="003E0637" w:rsidP="003E0637">
            <w:pPr>
              <w:spacing w:after="0" w:line="259" w:lineRule="auto"/>
              <w:ind w:left="0" w:right="-497" w:firstLine="0"/>
              <w:jc w:val="both"/>
              <w:rPr>
                <w:rFonts w:ascii="Poppins Light" w:hAnsi="Poppins Light" w:cs="Poppins Light"/>
                <w:noProof/>
              </w:rPr>
            </w:pPr>
            <w:r w:rsidRPr="003E0637">
              <w:rPr>
                <w:rFonts w:ascii="Poppins Light" w:hAnsi="Poppins Light" w:cs="Poppins Light"/>
                <w:noProof/>
              </w:rPr>
              <w:t>Autumn 2023</w:t>
            </w:r>
          </w:p>
        </w:tc>
      </w:tr>
      <w:tr w:rsidR="003E0637" w:rsidRPr="003E0637" w14:paraId="0BAD6013" w14:textId="77777777" w:rsidTr="003E0637">
        <w:trPr>
          <w:jc w:val="center"/>
        </w:trPr>
        <w:tc>
          <w:tcPr>
            <w:tcW w:w="2484" w:type="dxa"/>
          </w:tcPr>
          <w:p w14:paraId="39420601" w14:textId="5CB27730" w:rsidR="003E0637" w:rsidRPr="003E0637" w:rsidRDefault="003E0637" w:rsidP="003E0637">
            <w:pPr>
              <w:spacing w:after="0" w:line="259" w:lineRule="auto"/>
              <w:ind w:left="0" w:right="-497" w:firstLine="0"/>
              <w:jc w:val="both"/>
              <w:rPr>
                <w:rFonts w:ascii="Poppins Light" w:hAnsi="Poppins Light" w:cs="Poppins Light"/>
                <w:noProof/>
              </w:rPr>
            </w:pPr>
            <w:r w:rsidRPr="003E0637">
              <w:rPr>
                <w:rFonts w:ascii="Poppins Light" w:hAnsi="Poppins Light" w:cs="Poppins Light"/>
                <w:noProof/>
              </w:rPr>
              <w:t>Next Review Date</w:t>
            </w:r>
          </w:p>
        </w:tc>
        <w:tc>
          <w:tcPr>
            <w:tcW w:w="2477" w:type="dxa"/>
          </w:tcPr>
          <w:p w14:paraId="34ED38EB" w14:textId="36C16897" w:rsidR="003E0637" w:rsidRPr="003E0637" w:rsidRDefault="003E0637" w:rsidP="003E0637">
            <w:pPr>
              <w:spacing w:after="0" w:line="259" w:lineRule="auto"/>
              <w:ind w:left="0" w:right="-497" w:firstLine="0"/>
              <w:jc w:val="both"/>
              <w:rPr>
                <w:rFonts w:ascii="Poppins Light" w:hAnsi="Poppins Light" w:cs="Poppins Light"/>
                <w:noProof/>
              </w:rPr>
            </w:pPr>
            <w:r w:rsidRPr="003E0637">
              <w:rPr>
                <w:rFonts w:ascii="Poppins Light" w:hAnsi="Poppins Light" w:cs="Poppins Light"/>
                <w:noProof/>
              </w:rPr>
              <w:t>Autumn 2024</w:t>
            </w:r>
          </w:p>
        </w:tc>
      </w:tr>
    </w:tbl>
    <w:p w14:paraId="6FA3C800" w14:textId="793CAC8C" w:rsidR="00A40B7F" w:rsidRPr="003E0637" w:rsidRDefault="00A40B7F" w:rsidP="003E0637">
      <w:pPr>
        <w:spacing w:after="0" w:line="259" w:lineRule="auto"/>
        <w:ind w:left="-170" w:right="-497" w:firstLine="0"/>
        <w:jc w:val="both"/>
        <w:rPr>
          <w:rFonts w:ascii="Poppins Light" w:hAnsi="Poppins Light" w:cs="Poppins Light"/>
          <w:noProof/>
        </w:rPr>
      </w:pPr>
    </w:p>
    <w:p w14:paraId="27B45D23" w14:textId="4D65DF4E" w:rsidR="00A40B7F" w:rsidRPr="003E0637" w:rsidRDefault="00A40B7F" w:rsidP="003E0637">
      <w:pPr>
        <w:spacing w:after="0" w:line="259" w:lineRule="auto"/>
        <w:ind w:left="-170" w:right="-497" w:firstLine="0"/>
        <w:jc w:val="both"/>
        <w:rPr>
          <w:rFonts w:ascii="Poppins Light" w:hAnsi="Poppins Light" w:cs="Poppins Light"/>
          <w:noProof/>
        </w:rPr>
      </w:pPr>
    </w:p>
    <w:p w14:paraId="58349A23" w14:textId="37AFC98B" w:rsidR="00A40B7F" w:rsidRPr="003E0637" w:rsidRDefault="00A40B7F" w:rsidP="003E0637">
      <w:pPr>
        <w:spacing w:after="0" w:line="259" w:lineRule="auto"/>
        <w:ind w:left="-170" w:right="-497" w:firstLine="0"/>
        <w:jc w:val="both"/>
        <w:rPr>
          <w:rFonts w:ascii="Poppins Light" w:hAnsi="Poppins Light" w:cs="Poppins Light"/>
          <w:noProof/>
        </w:rPr>
      </w:pPr>
    </w:p>
    <w:p w14:paraId="17FAF789" w14:textId="30EA2523" w:rsidR="009477EC" w:rsidRPr="003E0637" w:rsidRDefault="009477EC" w:rsidP="003E0637">
      <w:pPr>
        <w:spacing w:after="160" w:line="259" w:lineRule="auto"/>
        <w:ind w:left="0" w:firstLine="0"/>
        <w:jc w:val="both"/>
        <w:rPr>
          <w:rFonts w:ascii="Poppins Light" w:hAnsi="Poppins Light" w:cs="Poppins Light"/>
          <w:noProof/>
        </w:rPr>
      </w:pPr>
    </w:p>
    <w:p w14:paraId="219F7CF8" w14:textId="7E89F3FB" w:rsidR="00A40B7F" w:rsidRPr="003E0637" w:rsidRDefault="00A40B7F" w:rsidP="003E0637">
      <w:pPr>
        <w:spacing w:after="160" w:line="259" w:lineRule="auto"/>
        <w:ind w:left="0" w:firstLine="0"/>
        <w:jc w:val="both"/>
        <w:rPr>
          <w:rFonts w:ascii="Poppins Light" w:hAnsi="Poppins Light" w:cs="Poppins Light"/>
          <w:noProof/>
        </w:rPr>
      </w:pPr>
    </w:p>
    <w:p w14:paraId="7F48B51A" w14:textId="77777777" w:rsidR="003E0637" w:rsidRPr="003E0637" w:rsidRDefault="003E0637" w:rsidP="003E0637">
      <w:pPr>
        <w:pStyle w:val="ListParagraph"/>
        <w:spacing w:after="242" w:line="259" w:lineRule="auto"/>
        <w:ind w:left="420" w:firstLine="0"/>
        <w:jc w:val="both"/>
        <w:rPr>
          <w:rFonts w:ascii="Poppins Light" w:hAnsi="Poppins Light" w:cs="Poppins Light"/>
          <w:sz w:val="22"/>
        </w:rPr>
      </w:pPr>
    </w:p>
    <w:p w14:paraId="11F6F281" w14:textId="700B5F02" w:rsidR="009477EC" w:rsidRPr="003E0637" w:rsidRDefault="00A40B7F" w:rsidP="003E0637">
      <w:pPr>
        <w:pStyle w:val="ListParagraph"/>
        <w:numPr>
          <w:ilvl w:val="0"/>
          <w:numId w:val="3"/>
        </w:numPr>
        <w:spacing w:after="242" w:line="259" w:lineRule="auto"/>
        <w:jc w:val="both"/>
        <w:rPr>
          <w:rFonts w:ascii="Poppins Light" w:hAnsi="Poppins Light" w:cs="Poppins Light"/>
          <w:sz w:val="22"/>
        </w:rPr>
      </w:pPr>
      <w:r w:rsidRPr="003E0637">
        <w:rPr>
          <w:rFonts w:ascii="Poppins Light" w:hAnsi="Poppins Light" w:cs="Poppins Light"/>
          <w:b/>
          <w:sz w:val="22"/>
        </w:rPr>
        <w:t xml:space="preserve">Introduction </w:t>
      </w:r>
    </w:p>
    <w:p w14:paraId="49C1E706" w14:textId="77777777" w:rsidR="009477EC" w:rsidRPr="003E0637" w:rsidRDefault="00A40B7F" w:rsidP="003E0637">
      <w:pPr>
        <w:spacing w:after="298"/>
        <w:ind w:left="-15" w:firstLine="0"/>
        <w:jc w:val="both"/>
        <w:rPr>
          <w:rFonts w:ascii="Poppins Light" w:hAnsi="Poppins Light" w:cs="Poppins Light"/>
          <w:sz w:val="22"/>
        </w:rPr>
      </w:pPr>
      <w:r w:rsidRPr="003E0637">
        <w:rPr>
          <w:rFonts w:ascii="Poppins Light" w:hAnsi="Poppins Light" w:cs="Poppins Light"/>
          <w:sz w:val="22"/>
        </w:rPr>
        <w:t>The</w:t>
      </w:r>
      <w:hyperlink r:id="rId6">
        <w:r w:rsidRPr="003E0637">
          <w:rPr>
            <w:rFonts w:ascii="Poppins Light" w:hAnsi="Poppins Light" w:cs="Poppins Light"/>
            <w:sz w:val="22"/>
          </w:rPr>
          <w:t xml:space="preserve"> </w:t>
        </w:r>
      </w:hyperlink>
      <w:hyperlink r:id="rId7">
        <w:r w:rsidRPr="003E0637">
          <w:rPr>
            <w:rFonts w:ascii="Poppins Light" w:hAnsi="Poppins Light" w:cs="Poppins Light"/>
            <w:color w:val="1D70B8"/>
            <w:sz w:val="22"/>
            <w:u w:val="single" w:color="1D70B8"/>
          </w:rPr>
          <w:t>code of practice</w:t>
        </w:r>
      </w:hyperlink>
      <w:hyperlink r:id="rId8">
        <w:r w:rsidRPr="003E0637">
          <w:rPr>
            <w:rFonts w:ascii="Poppins Light" w:hAnsi="Poppins Light" w:cs="Poppins Light"/>
            <w:sz w:val="22"/>
          </w:rPr>
          <w:t xml:space="preserve"> </w:t>
        </w:r>
      </w:hyperlink>
      <w:r w:rsidRPr="003E0637">
        <w:rPr>
          <w:rFonts w:ascii="Poppins Light" w:hAnsi="Poppins Light" w:cs="Poppins Light"/>
          <w:sz w:val="22"/>
        </w:rPr>
        <w:t xml:space="preserve">published under section 122 of the Police Act 1997 advises that it is a requirement that all registered bodies must treat DBS applicants who have a criminal record fairly and not discriminate automatically because of a conviction or other information revealed. </w:t>
      </w:r>
    </w:p>
    <w:p w14:paraId="2EC8B8CF" w14:textId="7BA06A11" w:rsidR="009477EC" w:rsidRPr="003E0637" w:rsidRDefault="00A40B7F" w:rsidP="003E0637">
      <w:pPr>
        <w:spacing w:after="337"/>
        <w:ind w:left="-15" w:firstLine="0"/>
        <w:jc w:val="both"/>
        <w:rPr>
          <w:rFonts w:ascii="Poppins Light" w:hAnsi="Poppins Light" w:cs="Poppins Light"/>
          <w:sz w:val="22"/>
        </w:rPr>
      </w:pPr>
      <w:r w:rsidRPr="003E0637">
        <w:rPr>
          <w:rFonts w:ascii="Poppins Light" w:hAnsi="Poppins Light" w:cs="Poppins Light"/>
          <w:sz w:val="22"/>
        </w:rPr>
        <w:t xml:space="preserve">The code also obliges registered bodies to have a written policy on the recruitment of ex-offenders; a copy of which can be given to DBS applicants at the outset of the recruitment process. </w:t>
      </w:r>
    </w:p>
    <w:p w14:paraId="656698B1" w14:textId="77777777" w:rsidR="009477EC" w:rsidRPr="003E0637" w:rsidRDefault="00A40B7F" w:rsidP="003E0637">
      <w:pPr>
        <w:pStyle w:val="Heading1"/>
        <w:ind w:left="348" w:hanging="288"/>
        <w:jc w:val="both"/>
        <w:rPr>
          <w:rFonts w:ascii="Poppins Light" w:hAnsi="Poppins Light" w:cs="Poppins Light"/>
          <w:sz w:val="22"/>
        </w:rPr>
      </w:pPr>
      <w:r w:rsidRPr="003E0637">
        <w:rPr>
          <w:rFonts w:ascii="Poppins Light" w:hAnsi="Poppins Light" w:cs="Poppins Light"/>
          <w:sz w:val="22"/>
        </w:rPr>
        <w:t xml:space="preserve">Recruitment of Ex-offenders </w:t>
      </w:r>
    </w:p>
    <w:p w14:paraId="2BFCA0AF" w14:textId="77777777" w:rsidR="009477EC" w:rsidRPr="003E0637" w:rsidRDefault="00A40B7F" w:rsidP="003E0637">
      <w:pPr>
        <w:spacing w:after="7" w:line="259" w:lineRule="auto"/>
        <w:ind w:left="60" w:firstLine="0"/>
        <w:jc w:val="both"/>
        <w:rPr>
          <w:rFonts w:ascii="Poppins Light" w:hAnsi="Poppins Light" w:cs="Poppins Light"/>
          <w:sz w:val="22"/>
        </w:rPr>
      </w:pPr>
      <w:r w:rsidRPr="003E0637">
        <w:rPr>
          <w:rFonts w:ascii="Poppins Light" w:hAnsi="Poppins Light" w:cs="Poppins Light"/>
          <w:color w:val="000000"/>
          <w:sz w:val="22"/>
        </w:rPr>
        <w:t xml:space="preserve"> </w:t>
      </w:r>
    </w:p>
    <w:p w14:paraId="15AD2002" w14:textId="2D61D8A8" w:rsidR="009477EC" w:rsidRPr="003E0637" w:rsidRDefault="00A40B7F"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 xml:space="preserve">As an organisation assessing applicants’ suitability for positions which are included in the Rehabilitation of Offenders Act 1974 (Exceptions) Order using criminal record checks processed through the Disclosure and Barring Service (DBS), </w:t>
      </w:r>
      <w:r w:rsidR="00C66007" w:rsidRPr="003E0637">
        <w:rPr>
          <w:rFonts w:ascii="Poppins Light" w:hAnsi="Poppins Light" w:cs="Poppins Light"/>
          <w:sz w:val="22"/>
        </w:rPr>
        <w:t>The Golden Thread Alliance</w:t>
      </w:r>
      <w:r w:rsidRPr="003E0637">
        <w:rPr>
          <w:rFonts w:ascii="Poppins Light" w:hAnsi="Poppins Light" w:cs="Poppins Light"/>
          <w:sz w:val="22"/>
        </w:rPr>
        <w:t xml:space="preserve"> complies fully with the</w:t>
      </w:r>
      <w:hyperlink r:id="rId9">
        <w:r w:rsidRPr="003E0637">
          <w:rPr>
            <w:rFonts w:ascii="Poppins Light" w:hAnsi="Poppins Light" w:cs="Poppins Light"/>
            <w:sz w:val="22"/>
          </w:rPr>
          <w:t xml:space="preserve"> </w:t>
        </w:r>
      </w:hyperlink>
      <w:hyperlink r:id="rId10">
        <w:r w:rsidRPr="003E0637">
          <w:rPr>
            <w:rFonts w:ascii="Poppins Light" w:hAnsi="Poppins Light" w:cs="Poppins Light"/>
            <w:color w:val="1D70B8"/>
            <w:sz w:val="22"/>
            <w:u w:val="single" w:color="1D70B8"/>
          </w:rPr>
          <w:t>code of practice</w:t>
        </w:r>
      </w:hyperlink>
      <w:hyperlink r:id="rId11">
        <w:r w:rsidRPr="003E0637">
          <w:rPr>
            <w:rFonts w:ascii="Poppins Light" w:hAnsi="Poppins Light" w:cs="Poppins Light"/>
            <w:sz w:val="22"/>
          </w:rPr>
          <w:t xml:space="preserve"> </w:t>
        </w:r>
      </w:hyperlink>
      <w:r w:rsidRPr="003E0637">
        <w:rPr>
          <w:rFonts w:ascii="Poppins Light" w:hAnsi="Poppins Light" w:cs="Poppins Light"/>
          <w:sz w:val="22"/>
        </w:rPr>
        <w:t xml:space="preserve">and undertakes to treat all applicants for positions fairly. </w:t>
      </w:r>
    </w:p>
    <w:p w14:paraId="2DB1BCAD" w14:textId="77777777" w:rsidR="009477EC" w:rsidRPr="003E0637" w:rsidRDefault="00A40B7F" w:rsidP="003E0637">
      <w:pPr>
        <w:spacing w:after="0" w:line="259" w:lineRule="auto"/>
        <w:ind w:left="360" w:firstLine="0"/>
        <w:jc w:val="both"/>
        <w:rPr>
          <w:rFonts w:ascii="Poppins Light" w:hAnsi="Poppins Light" w:cs="Poppins Light"/>
          <w:sz w:val="22"/>
        </w:rPr>
      </w:pPr>
      <w:r w:rsidRPr="003E0637">
        <w:rPr>
          <w:rFonts w:ascii="Poppins Light" w:hAnsi="Poppins Light" w:cs="Poppins Light"/>
          <w:sz w:val="22"/>
        </w:rPr>
        <w:t xml:space="preserve"> </w:t>
      </w:r>
    </w:p>
    <w:p w14:paraId="16A00B6C" w14:textId="22AE8860" w:rsidR="009477EC" w:rsidRPr="003E0637" w:rsidRDefault="00C66007"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undertakes not to discriminate unfairly against any subject of a criminal record check on the basis of a conviction or other information revealed. </w:t>
      </w:r>
    </w:p>
    <w:p w14:paraId="14E2E828" w14:textId="77777777" w:rsidR="009477EC" w:rsidRPr="003E0637" w:rsidRDefault="00A40B7F" w:rsidP="003E0637">
      <w:pPr>
        <w:spacing w:after="0" w:line="259" w:lineRule="auto"/>
        <w:ind w:left="60" w:firstLine="0"/>
        <w:jc w:val="both"/>
        <w:rPr>
          <w:rFonts w:ascii="Poppins Light" w:hAnsi="Poppins Light" w:cs="Poppins Light"/>
          <w:sz w:val="22"/>
        </w:rPr>
      </w:pPr>
      <w:r w:rsidRPr="003E0637">
        <w:rPr>
          <w:rFonts w:ascii="Poppins Light" w:hAnsi="Poppins Light" w:cs="Poppins Light"/>
          <w:sz w:val="22"/>
        </w:rPr>
        <w:t xml:space="preserve"> </w:t>
      </w:r>
    </w:p>
    <w:p w14:paraId="5FF109AA" w14:textId="6BA8AD91" w:rsidR="009477EC" w:rsidRPr="003E0637" w:rsidRDefault="00C66007"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can only ask an individual to provide details of convictions and cautions that </w:t>
      </w: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t>
      </w:r>
    </w:p>
    <w:p w14:paraId="3D0CB55F" w14:textId="77777777" w:rsidR="009477EC" w:rsidRPr="003E0637" w:rsidRDefault="00A40B7F" w:rsidP="003E0637">
      <w:pPr>
        <w:spacing w:after="0" w:line="259" w:lineRule="auto"/>
        <w:ind w:left="60" w:firstLine="0"/>
        <w:jc w:val="both"/>
        <w:rPr>
          <w:rFonts w:ascii="Poppins Light" w:hAnsi="Poppins Light" w:cs="Poppins Light"/>
          <w:sz w:val="22"/>
        </w:rPr>
      </w:pPr>
      <w:r w:rsidRPr="003E0637">
        <w:rPr>
          <w:rFonts w:ascii="Poppins Light" w:hAnsi="Poppins Light" w:cs="Poppins Light"/>
          <w:sz w:val="22"/>
        </w:rPr>
        <w:t xml:space="preserve"> </w:t>
      </w:r>
    </w:p>
    <w:p w14:paraId="2B96C598" w14:textId="40C4AE28" w:rsidR="009477EC" w:rsidRPr="003E0637" w:rsidRDefault="00C66007"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can only ask an individual about convictions and cautions that are not protected. </w:t>
      </w:r>
    </w:p>
    <w:p w14:paraId="52272804" w14:textId="1F41F48A" w:rsidR="009477EC" w:rsidRPr="003E0637" w:rsidRDefault="00C66007"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is committed to the fair treatment of its staff, potential staff or users of its services, regardless of race, gender, religion, sexual orientation, responsibilities for dependants, age, physical/mental disability or offending background. </w:t>
      </w:r>
    </w:p>
    <w:p w14:paraId="43370C73" w14:textId="77777777" w:rsidR="009477EC" w:rsidRPr="003E0637" w:rsidRDefault="00A40B7F" w:rsidP="003E0637">
      <w:pPr>
        <w:spacing w:after="0" w:line="259" w:lineRule="auto"/>
        <w:ind w:left="360" w:firstLine="0"/>
        <w:jc w:val="both"/>
        <w:rPr>
          <w:rFonts w:ascii="Poppins Light" w:hAnsi="Poppins Light" w:cs="Poppins Light"/>
          <w:sz w:val="22"/>
        </w:rPr>
      </w:pPr>
      <w:r w:rsidRPr="003E0637">
        <w:rPr>
          <w:rFonts w:ascii="Poppins Light" w:hAnsi="Poppins Light" w:cs="Poppins Light"/>
          <w:sz w:val="22"/>
        </w:rPr>
        <w:t xml:space="preserve"> </w:t>
      </w:r>
    </w:p>
    <w:p w14:paraId="31E5804E" w14:textId="3288A3FE" w:rsidR="009477EC" w:rsidRPr="003E0637" w:rsidRDefault="00C66007"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has a written policy on the recruitment of ex-offenders, which is made available to all DBS applicants at the start of the recruitment process. </w:t>
      </w:r>
    </w:p>
    <w:p w14:paraId="4C77F2B9" w14:textId="77777777" w:rsidR="009477EC" w:rsidRPr="003E0637" w:rsidRDefault="00A40B7F" w:rsidP="003E0637">
      <w:pPr>
        <w:spacing w:after="0" w:line="259" w:lineRule="auto"/>
        <w:ind w:left="60" w:firstLine="0"/>
        <w:jc w:val="both"/>
        <w:rPr>
          <w:rFonts w:ascii="Poppins Light" w:hAnsi="Poppins Light" w:cs="Poppins Light"/>
          <w:sz w:val="22"/>
        </w:rPr>
      </w:pPr>
      <w:r w:rsidRPr="003E0637">
        <w:rPr>
          <w:rFonts w:ascii="Poppins Light" w:hAnsi="Poppins Light" w:cs="Poppins Light"/>
          <w:sz w:val="22"/>
        </w:rPr>
        <w:t xml:space="preserve"> </w:t>
      </w:r>
    </w:p>
    <w:p w14:paraId="30A77A80" w14:textId="3330A6A2" w:rsidR="009477EC" w:rsidRPr="003E0637" w:rsidRDefault="00C66007"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actively promotes equality of opportunity for all with the right mix of talent, skills and potential and welcome applications from a wide range of candidates, including those with criminal records. </w:t>
      </w:r>
    </w:p>
    <w:p w14:paraId="24134B6E" w14:textId="77777777" w:rsidR="009477EC" w:rsidRPr="003E0637" w:rsidRDefault="00A40B7F" w:rsidP="003E0637">
      <w:pPr>
        <w:spacing w:after="0" w:line="259" w:lineRule="auto"/>
        <w:ind w:left="60" w:firstLine="0"/>
        <w:jc w:val="both"/>
        <w:rPr>
          <w:rFonts w:ascii="Poppins Light" w:hAnsi="Poppins Light" w:cs="Poppins Light"/>
          <w:sz w:val="22"/>
        </w:rPr>
      </w:pPr>
      <w:r w:rsidRPr="003E0637">
        <w:rPr>
          <w:rFonts w:ascii="Poppins Light" w:hAnsi="Poppins Light" w:cs="Poppins Light"/>
          <w:sz w:val="22"/>
        </w:rPr>
        <w:t xml:space="preserve"> </w:t>
      </w:r>
    </w:p>
    <w:p w14:paraId="13418704" w14:textId="70AB67E4" w:rsidR="009477EC" w:rsidRPr="003E0637" w:rsidRDefault="00C66007"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select all candidates for interview based on their skills, qualifications and experience. </w:t>
      </w:r>
    </w:p>
    <w:p w14:paraId="53E565F1" w14:textId="77777777" w:rsidR="009477EC" w:rsidRPr="003E0637" w:rsidRDefault="00A40B7F" w:rsidP="003E0637">
      <w:pPr>
        <w:spacing w:after="0" w:line="259" w:lineRule="auto"/>
        <w:ind w:left="60" w:firstLine="0"/>
        <w:jc w:val="both"/>
        <w:rPr>
          <w:rFonts w:ascii="Poppins Light" w:hAnsi="Poppins Light" w:cs="Poppins Light"/>
          <w:sz w:val="22"/>
        </w:rPr>
      </w:pPr>
      <w:r w:rsidRPr="003E0637">
        <w:rPr>
          <w:rFonts w:ascii="Poppins Light" w:hAnsi="Poppins Light" w:cs="Poppins Light"/>
          <w:sz w:val="22"/>
        </w:rPr>
        <w:t xml:space="preserve"> </w:t>
      </w:r>
    </w:p>
    <w:p w14:paraId="22849EF3" w14:textId="77777777" w:rsidR="009477EC" w:rsidRPr="003E0637" w:rsidRDefault="00A40B7F"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 xml:space="preserve">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 </w:t>
      </w:r>
    </w:p>
    <w:p w14:paraId="54D2A64B" w14:textId="6D074D6F" w:rsidR="009477EC" w:rsidRPr="003E0637" w:rsidRDefault="00C66007"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ensures that all those in </w:t>
      </w: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who are involved in the recruitment process have been suitably trained to identify and assess the relevance and circumstances of offences. </w:t>
      </w:r>
    </w:p>
    <w:p w14:paraId="3042792B" w14:textId="77777777" w:rsidR="009477EC" w:rsidRPr="003E0637" w:rsidRDefault="00A40B7F" w:rsidP="003E0637">
      <w:pPr>
        <w:spacing w:after="0" w:line="259" w:lineRule="auto"/>
        <w:ind w:left="0" w:firstLine="0"/>
        <w:jc w:val="both"/>
        <w:rPr>
          <w:rFonts w:ascii="Poppins Light" w:hAnsi="Poppins Light" w:cs="Poppins Light"/>
          <w:sz w:val="22"/>
        </w:rPr>
      </w:pPr>
      <w:r w:rsidRPr="003E0637">
        <w:rPr>
          <w:rFonts w:ascii="Poppins Light" w:hAnsi="Poppins Light" w:cs="Poppins Light"/>
          <w:sz w:val="22"/>
        </w:rPr>
        <w:t xml:space="preserve"> </w:t>
      </w:r>
    </w:p>
    <w:p w14:paraId="012F2C02" w14:textId="486F0ADD" w:rsidR="009477EC" w:rsidRPr="003E0637" w:rsidRDefault="00C66007"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also ensures that they have received appropriate guidance and training in the relevant legislation relating to the employment of ex-offenders, e.g., the Rehabilitation of Offenders Act 1974. </w:t>
      </w:r>
    </w:p>
    <w:p w14:paraId="09B803D9" w14:textId="77777777" w:rsidR="009477EC" w:rsidRPr="003E0637" w:rsidRDefault="00A40B7F" w:rsidP="003E0637">
      <w:pPr>
        <w:spacing w:after="0" w:line="259" w:lineRule="auto"/>
        <w:ind w:left="60" w:firstLine="0"/>
        <w:jc w:val="both"/>
        <w:rPr>
          <w:rFonts w:ascii="Poppins Light" w:hAnsi="Poppins Light" w:cs="Poppins Light"/>
          <w:sz w:val="22"/>
        </w:rPr>
      </w:pPr>
      <w:r w:rsidRPr="003E0637">
        <w:rPr>
          <w:rFonts w:ascii="Poppins Light" w:hAnsi="Poppins Light" w:cs="Poppins Light"/>
          <w:sz w:val="22"/>
        </w:rPr>
        <w:t xml:space="preserve"> </w:t>
      </w:r>
    </w:p>
    <w:p w14:paraId="73785B5F" w14:textId="1EB51D53" w:rsidR="009477EC" w:rsidRPr="003E0637" w:rsidRDefault="00A40B7F"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 xml:space="preserve">at interview, or in a separate discussion, </w:t>
      </w:r>
      <w:r w:rsidR="00C66007" w:rsidRPr="003E0637">
        <w:rPr>
          <w:rFonts w:ascii="Poppins Light" w:hAnsi="Poppins Light" w:cs="Poppins Light"/>
          <w:sz w:val="22"/>
        </w:rPr>
        <w:t>The Golden Thread Alliance</w:t>
      </w:r>
      <w:r w:rsidRPr="003E0637">
        <w:rPr>
          <w:rFonts w:ascii="Poppins Light" w:hAnsi="Poppins Light" w:cs="Poppins Light"/>
          <w:sz w:val="22"/>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6B56320C" w14:textId="77777777" w:rsidR="009477EC" w:rsidRPr="003E0637" w:rsidRDefault="00A40B7F" w:rsidP="003E0637">
      <w:pPr>
        <w:spacing w:after="0" w:line="259" w:lineRule="auto"/>
        <w:ind w:left="60" w:firstLine="0"/>
        <w:jc w:val="both"/>
        <w:rPr>
          <w:rFonts w:ascii="Poppins Light" w:hAnsi="Poppins Light" w:cs="Poppins Light"/>
          <w:sz w:val="22"/>
        </w:rPr>
      </w:pPr>
      <w:r w:rsidRPr="003E0637">
        <w:rPr>
          <w:rFonts w:ascii="Poppins Light" w:hAnsi="Poppins Light" w:cs="Poppins Light"/>
          <w:sz w:val="22"/>
        </w:rPr>
        <w:t xml:space="preserve"> </w:t>
      </w:r>
    </w:p>
    <w:p w14:paraId="64CAF98F" w14:textId="2468CA69" w:rsidR="009477EC" w:rsidRPr="003E0637" w:rsidRDefault="00C66007"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makes every subject of a criminal record check submitted to DBS aware of the existence of the</w:t>
      </w:r>
      <w:hyperlink r:id="rId12">
        <w:r w:rsidR="00A40B7F" w:rsidRPr="003E0637">
          <w:rPr>
            <w:rFonts w:ascii="Poppins Light" w:hAnsi="Poppins Light" w:cs="Poppins Light"/>
            <w:sz w:val="22"/>
          </w:rPr>
          <w:t xml:space="preserve"> </w:t>
        </w:r>
      </w:hyperlink>
      <w:hyperlink r:id="rId13">
        <w:r w:rsidR="00A40B7F" w:rsidRPr="003E0637">
          <w:rPr>
            <w:rFonts w:ascii="Poppins Light" w:hAnsi="Poppins Light" w:cs="Poppins Light"/>
            <w:color w:val="1D70B8"/>
            <w:sz w:val="22"/>
            <w:u w:val="single" w:color="1D70B8"/>
          </w:rPr>
          <w:t>code of practice</w:t>
        </w:r>
      </w:hyperlink>
      <w:hyperlink r:id="rId14">
        <w:r w:rsidR="00A40B7F" w:rsidRPr="003E0637">
          <w:rPr>
            <w:rFonts w:ascii="Poppins Light" w:hAnsi="Poppins Light" w:cs="Poppins Light"/>
            <w:sz w:val="22"/>
          </w:rPr>
          <w:t xml:space="preserve"> </w:t>
        </w:r>
      </w:hyperlink>
      <w:r w:rsidR="00A40B7F" w:rsidRPr="003E0637">
        <w:rPr>
          <w:rFonts w:ascii="Poppins Light" w:hAnsi="Poppins Light" w:cs="Poppins Light"/>
          <w:sz w:val="22"/>
        </w:rPr>
        <w:t xml:space="preserve">and makes a copy available on request. </w:t>
      </w:r>
    </w:p>
    <w:p w14:paraId="59D4BEE3" w14:textId="77777777" w:rsidR="009477EC" w:rsidRPr="003E0637" w:rsidRDefault="00A40B7F" w:rsidP="003E0637">
      <w:pPr>
        <w:spacing w:after="0" w:line="259" w:lineRule="auto"/>
        <w:ind w:left="60" w:firstLine="0"/>
        <w:jc w:val="both"/>
        <w:rPr>
          <w:rFonts w:ascii="Poppins Light" w:hAnsi="Poppins Light" w:cs="Poppins Light"/>
          <w:sz w:val="22"/>
        </w:rPr>
      </w:pPr>
      <w:r w:rsidRPr="003E0637">
        <w:rPr>
          <w:rFonts w:ascii="Poppins Light" w:hAnsi="Poppins Light" w:cs="Poppins Light"/>
          <w:sz w:val="22"/>
        </w:rPr>
        <w:t xml:space="preserve"> </w:t>
      </w:r>
    </w:p>
    <w:p w14:paraId="51ABDF6F" w14:textId="5B6078A0" w:rsidR="009477EC" w:rsidRPr="003E0637" w:rsidRDefault="00C66007" w:rsidP="003E0637">
      <w:pPr>
        <w:numPr>
          <w:ilvl w:val="0"/>
          <w:numId w:val="1"/>
        </w:numPr>
        <w:ind w:hanging="360"/>
        <w:jc w:val="both"/>
        <w:rPr>
          <w:rFonts w:ascii="Poppins Light" w:hAnsi="Poppins Light" w:cs="Poppins Light"/>
          <w:sz w:val="22"/>
        </w:rPr>
      </w:pPr>
      <w:r w:rsidRPr="003E0637">
        <w:rPr>
          <w:rFonts w:ascii="Poppins Light" w:hAnsi="Poppins Light" w:cs="Poppins Light"/>
          <w:sz w:val="22"/>
        </w:rPr>
        <w:t>The Golden Thread Alliance</w:t>
      </w:r>
      <w:r w:rsidR="00A40B7F" w:rsidRPr="003E0637">
        <w:rPr>
          <w:rFonts w:ascii="Poppins Light" w:hAnsi="Poppins Light" w:cs="Poppins Light"/>
          <w:sz w:val="22"/>
        </w:rPr>
        <w:t xml:space="preserve"> undertakes to discuss any matter revealed on a DBS certificate with the individual seeking the position before withdrawing a conditional offer of employment. </w:t>
      </w:r>
    </w:p>
    <w:p w14:paraId="49A77E6A" w14:textId="77777777" w:rsidR="009477EC" w:rsidRPr="003E0637" w:rsidRDefault="00A40B7F" w:rsidP="003E0637">
      <w:pPr>
        <w:spacing w:after="0" w:line="259" w:lineRule="auto"/>
        <w:ind w:left="161" w:firstLine="0"/>
        <w:jc w:val="both"/>
        <w:rPr>
          <w:rFonts w:ascii="Poppins Light" w:hAnsi="Poppins Light" w:cs="Poppins Light"/>
          <w:sz w:val="22"/>
        </w:rPr>
      </w:pPr>
      <w:r w:rsidRPr="003E0637">
        <w:rPr>
          <w:rFonts w:ascii="Poppins Light" w:hAnsi="Poppins Light" w:cs="Poppins Light"/>
          <w:color w:val="000000"/>
          <w:sz w:val="22"/>
        </w:rPr>
        <w:t xml:space="preserve"> </w:t>
      </w:r>
    </w:p>
    <w:sectPr w:rsidR="009477EC" w:rsidRPr="003E0637" w:rsidSect="00A40B7F">
      <w:pgSz w:w="11911" w:h="16841"/>
      <w:pgMar w:top="1050" w:right="1353" w:bottom="614" w:left="1280" w:header="720" w:footer="720" w:gutter="0"/>
      <w:pgBorders w:display="firstPage" w:offsetFrom="page">
        <w:top w:val="single" w:sz="24" w:space="24" w:color="FFC000"/>
        <w:left w:val="single" w:sz="24" w:space="24" w:color="FFC000"/>
        <w:bottom w:val="single" w:sz="24" w:space="24" w:color="FFC000"/>
        <w:right w:val="single" w:sz="24" w:space="24" w:color="FFC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ITC Avant Garde Gothic Book">
    <w:altName w:val="Cambria"/>
    <w:panose1 w:val="00000000000000000000"/>
    <w:charset w:val="00"/>
    <w:family w:val="modern"/>
    <w:notTrueType/>
    <w:pitch w:val="variable"/>
    <w:sig w:usb0="A000002F" w:usb1="40000048" w:usb2="00000000" w:usb3="00000000" w:csb0="00000111"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B4D98"/>
    <w:multiLevelType w:val="hybridMultilevel"/>
    <w:tmpl w:val="412EE48A"/>
    <w:lvl w:ilvl="0" w:tplc="3E5CA402">
      <w:start w:val="2"/>
      <w:numFmt w:val="decimal"/>
      <w:pStyle w:val="Heading1"/>
      <w:lvlText w:val="%1."/>
      <w:lvlJc w:val="left"/>
      <w:pPr>
        <w:ind w:left="0"/>
      </w:pPr>
      <w:rPr>
        <w:rFonts w:ascii="Calibri" w:eastAsia="Calibri" w:hAnsi="Calibri" w:cs="Calibri"/>
        <w:b w:val="0"/>
        <w:bCs/>
        <w:i w:val="0"/>
        <w:strike w:val="0"/>
        <w:dstrike w:val="0"/>
        <w:color w:val="0B0C0C"/>
        <w:sz w:val="28"/>
        <w:szCs w:val="28"/>
        <w:u w:val="none" w:color="000000"/>
        <w:bdr w:val="none" w:sz="0" w:space="0" w:color="auto"/>
        <w:shd w:val="clear" w:color="auto" w:fill="auto"/>
        <w:vertAlign w:val="baseline"/>
      </w:rPr>
    </w:lvl>
    <w:lvl w:ilvl="1" w:tplc="0B040616">
      <w:start w:val="1"/>
      <w:numFmt w:val="lowerLetter"/>
      <w:lvlText w:val="%2"/>
      <w:lvlJc w:val="left"/>
      <w:pPr>
        <w:ind w:left="1140"/>
      </w:pPr>
      <w:rPr>
        <w:rFonts w:ascii="Calibri" w:eastAsia="Calibri" w:hAnsi="Calibri" w:cs="Calibri"/>
        <w:b/>
        <w:bCs/>
        <w:i w:val="0"/>
        <w:strike w:val="0"/>
        <w:dstrike w:val="0"/>
        <w:color w:val="0B0C0C"/>
        <w:sz w:val="28"/>
        <w:szCs w:val="28"/>
        <w:u w:val="none" w:color="000000"/>
        <w:bdr w:val="none" w:sz="0" w:space="0" w:color="auto"/>
        <w:shd w:val="clear" w:color="auto" w:fill="auto"/>
        <w:vertAlign w:val="baseline"/>
      </w:rPr>
    </w:lvl>
    <w:lvl w:ilvl="2" w:tplc="E13A17D8">
      <w:start w:val="1"/>
      <w:numFmt w:val="lowerRoman"/>
      <w:lvlText w:val="%3"/>
      <w:lvlJc w:val="left"/>
      <w:pPr>
        <w:ind w:left="1860"/>
      </w:pPr>
      <w:rPr>
        <w:rFonts w:ascii="Calibri" w:eastAsia="Calibri" w:hAnsi="Calibri" w:cs="Calibri"/>
        <w:b/>
        <w:bCs/>
        <w:i w:val="0"/>
        <w:strike w:val="0"/>
        <w:dstrike w:val="0"/>
        <w:color w:val="0B0C0C"/>
        <w:sz w:val="28"/>
        <w:szCs w:val="28"/>
        <w:u w:val="none" w:color="000000"/>
        <w:bdr w:val="none" w:sz="0" w:space="0" w:color="auto"/>
        <w:shd w:val="clear" w:color="auto" w:fill="auto"/>
        <w:vertAlign w:val="baseline"/>
      </w:rPr>
    </w:lvl>
    <w:lvl w:ilvl="3" w:tplc="274850B4">
      <w:start w:val="1"/>
      <w:numFmt w:val="decimal"/>
      <w:lvlText w:val="%4"/>
      <w:lvlJc w:val="left"/>
      <w:pPr>
        <w:ind w:left="2580"/>
      </w:pPr>
      <w:rPr>
        <w:rFonts w:ascii="Calibri" w:eastAsia="Calibri" w:hAnsi="Calibri" w:cs="Calibri"/>
        <w:b/>
        <w:bCs/>
        <w:i w:val="0"/>
        <w:strike w:val="0"/>
        <w:dstrike w:val="0"/>
        <w:color w:val="0B0C0C"/>
        <w:sz w:val="28"/>
        <w:szCs w:val="28"/>
        <w:u w:val="none" w:color="000000"/>
        <w:bdr w:val="none" w:sz="0" w:space="0" w:color="auto"/>
        <w:shd w:val="clear" w:color="auto" w:fill="auto"/>
        <w:vertAlign w:val="baseline"/>
      </w:rPr>
    </w:lvl>
    <w:lvl w:ilvl="4" w:tplc="61DA4624">
      <w:start w:val="1"/>
      <w:numFmt w:val="lowerLetter"/>
      <w:lvlText w:val="%5"/>
      <w:lvlJc w:val="left"/>
      <w:pPr>
        <w:ind w:left="3300"/>
      </w:pPr>
      <w:rPr>
        <w:rFonts w:ascii="Calibri" w:eastAsia="Calibri" w:hAnsi="Calibri" w:cs="Calibri"/>
        <w:b/>
        <w:bCs/>
        <w:i w:val="0"/>
        <w:strike w:val="0"/>
        <w:dstrike w:val="0"/>
        <w:color w:val="0B0C0C"/>
        <w:sz w:val="28"/>
        <w:szCs w:val="28"/>
        <w:u w:val="none" w:color="000000"/>
        <w:bdr w:val="none" w:sz="0" w:space="0" w:color="auto"/>
        <w:shd w:val="clear" w:color="auto" w:fill="auto"/>
        <w:vertAlign w:val="baseline"/>
      </w:rPr>
    </w:lvl>
    <w:lvl w:ilvl="5" w:tplc="1F5C755E">
      <w:start w:val="1"/>
      <w:numFmt w:val="lowerRoman"/>
      <w:lvlText w:val="%6"/>
      <w:lvlJc w:val="left"/>
      <w:pPr>
        <w:ind w:left="4020"/>
      </w:pPr>
      <w:rPr>
        <w:rFonts w:ascii="Calibri" w:eastAsia="Calibri" w:hAnsi="Calibri" w:cs="Calibri"/>
        <w:b/>
        <w:bCs/>
        <w:i w:val="0"/>
        <w:strike w:val="0"/>
        <w:dstrike w:val="0"/>
        <w:color w:val="0B0C0C"/>
        <w:sz w:val="28"/>
        <w:szCs w:val="28"/>
        <w:u w:val="none" w:color="000000"/>
        <w:bdr w:val="none" w:sz="0" w:space="0" w:color="auto"/>
        <w:shd w:val="clear" w:color="auto" w:fill="auto"/>
        <w:vertAlign w:val="baseline"/>
      </w:rPr>
    </w:lvl>
    <w:lvl w:ilvl="6" w:tplc="FCAE5360">
      <w:start w:val="1"/>
      <w:numFmt w:val="decimal"/>
      <w:lvlText w:val="%7"/>
      <w:lvlJc w:val="left"/>
      <w:pPr>
        <w:ind w:left="4740"/>
      </w:pPr>
      <w:rPr>
        <w:rFonts w:ascii="Calibri" w:eastAsia="Calibri" w:hAnsi="Calibri" w:cs="Calibri"/>
        <w:b/>
        <w:bCs/>
        <w:i w:val="0"/>
        <w:strike w:val="0"/>
        <w:dstrike w:val="0"/>
        <w:color w:val="0B0C0C"/>
        <w:sz w:val="28"/>
        <w:szCs w:val="28"/>
        <w:u w:val="none" w:color="000000"/>
        <w:bdr w:val="none" w:sz="0" w:space="0" w:color="auto"/>
        <w:shd w:val="clear" w:color="auto" w:fill="auto"/>
        <w:vertAlign w:val="baseline"/>
      </w:rPr>
    </w:lvl>
    <w:lvl w:ilvl="7" w:tplc="2098BC5A">
      <w:start w:val="1"/>
      <w:numFmt w:val="lowerLetter"/>
      <w:lvlText w:val="%8"/>
      <w:lvlJc w:val="left"/>
      <w:pPr>
        <w:ind w:left="5460"/>
      </w:pPr>
      <w:rPr>
        <w:rFonts w:ascii="Calibri" w:eastAsia="Calibri" w:hAnsi="Calibri" w:cs="Calibri"/>
        <w:b/>
        <w:bCs/>
        <w:i w:val="0"/>
        <w:strike w:val="0"/>
        <w:dstrike w:val="0"/>
        <w:color w:val="0B0C0C"/>
        <w:sz w:val="28"/>
        <w:szCs w:val="28"/>
        <w:u w:val="none" w:color="000000"/>
        <w:bdr w:val="none" w:sz="0" w:space="0" w:color="auto"/>
        <w:shd w:val="clear" w:color="auto" w:fill="auto"/>
        <w:vertAlign w:val="baseline"/>
      </w:rPr>
    </w:lvl>
    <w:lvl w:ilvl="8" w:tplc="4DDE8B32">
      <w:start w:val="1"/>
      <w:numFmt w:val="lowerRoman"/>
      <w:lvlText w:val="%9"/>
      <w:lvlJc w:val="left"/>
      <w:pPr>
        <w:ind w:left="6180"/>
      </w:pPr>
      <w:rPr>
        <w:rFonts w:ascii="Calibri" w:eastAsia="Calibri" w:hAnsi="Calibri" w:cs="Calibri"/>
        <w:b/>
        <w:bCs/>
        <w:i w:val="0"/>
        <w:strike w:val="0"/>
        <w:dstrike w:val="0"/>
        <w:color w:val="0B0C0C"/>
        <w:sz w:val="28"/>
        <w:szCs w:val="28"/>
        <w:u w:val="none" w:color="000000"/>
        <w:bdr w:val="none" w:sz="0" w:space="0" w:color="auto"/>
        <w:shd w:val="clear" w:color="auto" w:fill="auto"/>
        <w:vertAlign w:val="baseline"/>
      </w:rPr>
    </w:lvl>
  </w:abstractNum>
  <w:abstractNum w:abstractNumId="1" w15:restartNumberingAfterBreak="0">
    <w:nsid w:val="48175815"/>
    <w:multiLevelType w:val="hybridMultilevel"/>
    <w:tmpl w:val="D35CF67E"/>
    <w:lvl w:ilvl="0" w:tplc="29421214">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504533FF"/>
    <w:multiLevelType w:val="hybridMultilevel"/>
    <w:tmpl w:val="D9A652CA"/>
    <w:lvl w:ilvl="0" w:tplc="816C7F40">
      <w:start w:val="1"/>
      <w:numFmt w:val="bullet"/>
      <w:lvlText w:val="•"/>
      <w:lvlJc w:val="left"/>
      <w:pPr>
        <w:ind w:left="36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35E4CF08">
      <w:start w:val="1"/>
      <w:numFmt w:val="bullet"/>
      <w:lvlText w:val="o"/>
      <w:lvlJc w:val="left"/>
      <w:pPr>
        <w:ind w:left="108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2" w:tplc="2354988A">
      <w:start w:val="1"/>
      <w:numFmt w:val="bullet"/>
      <w:lvlText w:val="▪"/>
      <w:lvlJc w:val="left"/>
      <w:pPr>
        <w:ind w:left="180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3" w:tplc="768C5AF6">
      <w:start w:val="1"/>
      <w:numFmt w:val="bullet"/>
      <w:lvlText w:val="•"/>
      <w:lvlJc w:val="left"/>
      <w:pPr>
        <w:ind w:left="252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4" w:tplc="1D7C7C74">
      <w:start w:val="1"/>
      <w:numFmt w:val="bullet"/>
      <w:lvlText w:val="o"/>
      <w:lvlJc w:val="left"/>
      <w:pPr>
        <w:ind w:left="324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5" w:tplc="FBEADE1C">
      <w:start w:val="1"/>
      <w:numFmt w:val="bullet"/>
      <w:lvlText w:val="▪"/>
      <w:lvlJc w:val="left"/>
      <w:pPr>
        <w:ind w:left="396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6" w:tplc="79F8846A">
      <w:start w:val="1"/>
      <w:numFmt w:val="bullet"/>
      <w:lvlText w:val="•"/>
      <w:lvlJc w:val="left"/>
      <w:pPr>
        <w:ind w:left="468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7" w:tplc="42BA5AD4">
      <w:start w:val="1"/>
      <w:numFmt w:val="bullet"/>
      <w:lvlText w:val="o"/>
      <w:lvlJc w:val="left"/>
      <w:pPr>
        <w:ind w:left="540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8" w:tplc="FFC618FA">
      <w:start w:val="1"/>
      <w:numFmt w:val="bullet"/>
      <w:lvlText w:val="▪"/>
      <w:lvlJc w:val="left"/>
      <w:pPr>
        <w:ind w:left="612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abstractNum>
  <w:num w:numId="1" w16cid:durableId="872233184">
    <w:abstractNumId w:val="2"/>
  </w:num>
  <w:num w:numId="2" w16cid:durableId="337270070">
    <w:abstractNumId w:val="0"/>
  </w:num>
  <w:num w:numId="3" w16cid:durableId="1009261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EC"/>
    <w:rsid w:val="003E0637"/>
    <w:rsid w:val="00431C9D"/>
    <w:rsid w:val="004837EE"/>
    <w:rsid w:val="008F151F"/>
    <w:rsid w:val="00915236"/>
    <w:rsid w:val="009477EC"/>
    <w:rsid w:val="00972A55"/>
    <w:rsid w:val="00A40B7F"/>
    <w:rsid w:val="00C66007"/>
    <w:rsid w:val="00F8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3473"/>
  <w15:docId w15:val="{98D13C5B-2B23-40D9-B250-6C0CE82B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430" w:hanging="370"/>
    </w:pPr>
    <w:rPr>
      <w:rFonts w:ascii="Calibri" w:eastAsia="Calibri" w:hAnsi="Calibri" w:cs="Calibri"/>
      <w:color w:val="0B0C0C"/>
      <w:sz w:val="24"/>
    </w:rPr>
  </w:style>
  <w:style w:type="paragraph" w:styleId="Heading1">
    <w:name w:val="heading 1"/>
    <w:next w:val="Normal"/>
    <w:link w:val="Heading1Char"/>
    <w:uiPriority w:val="9"/>
    <w:qFormat/>
    <w:pPr>
      <w:keepNext/>
      <w:keepLines/>
      <w:numPr>
        <w:numId w:val="2"/>
      </w:numPr>
      <w:spacing w:after="0"/>
      <w:ind w:left="60"/>
      <w:outlineLvl w:val="0"/>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paragraph" w:styleId="ListParagraph">
    <w:name w:val="List Paragraph"/>
    <w:basedOn w:val="Normal"/>
    <w:uiPriority w:val="34"/>
    <w:qFormat/>
    <w:rsid w:val="00915236"/>
    <w:pPr>
      <w:ind w:left="720"/>
      <w:contextualSpacing/>
    </w:pPr>
  </w:style>
  <w:style w:type="table" w:styleId="TableGrid">
    <w:name w:val="Table Grid"/>
    <w:basedOn w:val="TableNormal"/>
    <w:uiPriority w:val="39"/>
    <w:rsid w:val="003E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yperlink" Target="https://www.gov.uk/government/publications/dbs-code-of-practice"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12" Type="http://schemas.openxmlformats.org/officeDocument/2006/relationships/hyperlink" Target="https://www.gov.uk/government/publications/dbs-code-of-practic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dbs-code-of-practice" TargetMode="External"/><Relationship Id="rId11" Type="http://schemas.openxmlformats.org/officeDocument/2006/relationships/hyperlink" Target="https://www.gov.uk/government/publications/dbs-code-of-practic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ov.uk/government/publications/dbs-code-of-practice"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172B5780BA4E876C3841C8F88040" ma:contentTypeVersion="9" ma:contentTypeDescription="Create a new document." ma:contentTypeScope="" ma:versionID="58b57a19826f8755bb938ea17f237779">
  <xsd:schema xmlns:xsd="http://www.w3.org/2001/XMLSchema" xmlns:xs="http://www.w3.org/2001/XMLSchema" xmlns:p="http://schemas.microsoft.com/office/2006/metadata/properties" xmlns:ns2="b0fb63f0-6712-4e5f-94fb-1323e3c99ba3" targetNamespace="http://schemas.microsoft.com/office/2006/metadata/properties" ma:root="true" ma:fieldsID="a7b5219140bfa73ea1e0e118901ddc0c" ns2:_="">
    <xsd:import namespace="b0fb63f0-6712-4e5f-94fb-1323e3c99b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b63f0-6712-4e5f-94fb-1323e3c99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36a12-1055-4bdc-b546-a13829bdc62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fb63f0-6712-4e5f-94fb-1323e3c99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C09A2E-3363-49D5-9526-37B04574AA3F}"/>
</file>

<file path=customXml/itemProps2.xml><?xml version="1.0" encoding="utf-8"?>
<ds:datastoreItem xmlns:ds="http://schemas.openxmlformats.org/officeDocument/2006/customXml" ds:itemID="{02013931-39F0-45F2-826A-0DFEF98EC542}"/>
</file>

<file path=customXml/itemProps3.xml><?xml version="1.0" encoding="utf-8"?>
<ds:datastoreItem xmlns:ds="http://schemas.openxmlformats.org/officeDocument/2006/customXml" ds:itemID="{93DAF40E-EF91-439E-AAC2-24BF189F1896}"/>
</file>

<file path=docProps/app.xml><?xml version="1.0" encoding="utf-8"?>
<Properties xmlns="http://schemas.openxmlformats.org/officeDocument/2006/extended-properties" xmlns:vt="http://schemas.openxmlformats.org/officeDocument/2006/docPropsVTypes">
  <Template>Normal</Template>
  <TotalTime>1</TotalTime>
  <Pages>1</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T.Howes</dc:creator>
  <cp:keywords/>
  <cp:lastModifiedBy>Stacey Wright</cp:lastModifiedBy>
  <cp:revision>2</cp:revision>
  <dcterms:created xsi:type="dcterms:W3CDTF">2023-10-09T14:59:00Z</dcterms:created>
  <dcterms:modified xsi:type="dcterms:W3CDTF">2023-10-09T14:59:00Z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0x0101005201172B5780BA4E876C3841C8F88040</vt:lpwstr>
  </property>
</Properties>
</file>