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F542" w14:textId="0F54B082" w:rsidR="006A74E9" w:rsidRDefault="00E63709" w:rsidP="006A74E9">
      <w:pPr>
        <w:pStyle w:val="Heading1"/>
        <w:jc w:val="center"/>
        <w:rPr>
          <w:rFonts w:ascii="Century Gothic" w:eastAsia="Arial" w:hAnsi="Century Gothic" w:cs="Arial"/>
          <w:b/>
          <w:bCs/>
          <w:color w:val="4472C4" w:themeColor="accent1"/>
          <w:sz w:val="28"/>
          <w:szCs w:val="28"/>
        </w:rPr>
      </w:pPr>
      <w:r>
        <w:rPr>
          <w:rFonts w:ascii="Century Gothic" w:eastAsia="Arial" w:hAnsi="Century Gothic" w:cs="Arial"/>
          <w:b/>
          <w:bCs/>
          <w:color w:val="4472C4" w:themeColor="accent1"/>
          <w:sz w:val="28"/>
          <w:szCs w:val="28"/>
        </w:rPr>
        <w:t>GREAT OAKS SMALL SCHOOL</w:t>
      </w:r>
    </w:p>
    <w:p w14:paraId="6A5F4407" w14:textId="6AB46FDA" w:rsidR="00C84E8C" w:rsidRDefault="00E63709" w:rsidP="006A74E9">
      <w:pPr>
        <w:pStyle w:val="Heading1"/>
        <w:jc w:val="center"/>
        <w:rPr>
          <w:rFonts w:ascii="Century Gothic" w:eastAsia="Arial" w:hAnsi="Century Gothic" w:cs="Arial"/>
          <w:b/>
          <w:bCs/>
          <w:color w:val="4472C4" w:themeColor="accent1"/>
          <w:sz w:val="28"/>
          <w:szCs w:val="28"/>
        </w:rPr>
      </w:pPr>
      <w:r>
        <w:rPr>
          <w:rFonts w:ascii="Century Gothic" w:eastAsia="Arial" w:hAnsi="Century Gothic" w:cs="Arial"/>
          <w:b/>
          <w:bCs/>
          <w:color w:val="4472C4" w:themeColor="accent1"/>
          <w:sz w:val="28"/>
          <w:szCs w:val="28"/>
        </w:rPr>
        <w:t xml:space="preserve">Exams Officer </w:t>
      </w:r>
      <w:r w:rsidR="7C0B7924" w:rsidRPr="00D021EB">
        <w:rPr>
          <w:rFonts w:ascii="Century Gothic" w:eastAsia="Arial" w:hAnsi="Century Gothic" w:cs="Arial"/>
          <w:b/>
          <w:bCs/>
          <w:color w:val="4472C4" w:themeColor="accent1"/>
          <w:sz w:val="28"/>
          <w:szCs w:val="28"/>
        </w:rPr>
        <w:t xml:space="preserve">Person </w:t>
      </w:r>
      <w:r w:rsidR="00D021EB" w:rsidRPr="00D021EB">
        <w:rPr>
          <w:rFonts w:ascii="Century Gothic" w:eastAsia="Arial" w:hAnsi="Century Gothic" w:cs="Arial"/>
          <w:b/>
          <w:bCs/>
          <w:color w:val="4472C4" w:themeColor="accent1"/>
          <w:sz w:val="28"/>
          <w:szCs w:val="28"/>
        </w:rPr>
        <w:t>S</w:t>
      </w:r>
      <w:r w:rsidR="7C0B7924" w:rsidRPr="00D021EB">
        <w:rPr>
          <w:rFonts w:ascii="Century Gothic" w:eastAsia="Arial" w:hAnsi="Century Gothic" w:cs="Arial"/>
          <w:b/>
          <w:bCs/>
          <w:color w:val="4472C4" w:themeColor="accent1"/>
          <w:sz w:val="28"/>
          <w:szCs w:val="28"/>
        </w:rPr>
        <w:t>pecification</w:t>
      </w:r>
    </w:p>
    <w:p w14:paraId="64381117" w14:textId="77777777" w:rsidR="000D5B71" w:rsidRPr="000D5B71" w:rsidRDefault="000D5B71" w:rsidP="000D5B71"/>
    <w:tbl>
      <w:tblPr>
        <w:tblW w:w="9360" w:type="dxa"/>
        <w:tblInd w:w="105" w:type="dxa"/>
        <w:tblLayout w:type="fixed"/>
        <w:tblLook w:val="04A0" w:firstRow="1" w:lastRow="0" w:firstColumn="1" w:lastColumn="0" w:noHBand="0" w:noVBand="1"/>
      </w:tblPr>
      <w:tblGrid>
        <w:gridCol w:w="1872"/>
        <w:gridCol w:w="7488"/>
      </w:tblGrid>
      <w:tr w:rsidR="01E96D0B" w:rsidRPr="0002700F" w14:paraId="63097130" w14:textId="77777777" w:rsidTr="002568AD">
        <w:tc>
          <w:tcPr>
            <w:tcW w:w="1872" w:type="dxa"/>
            <w:tcBorders>
              <w:top w:val="single" w:sz="6" w:space="0" w:color="F8F8F8"/>
              <w:left w:val="single" w:sz="6" w:space="0" w:color="F8F8F8"/>
              <w:bottom w:val="single" w:sz="6" w:space="0" w:color="F8F8F8"/>
              <w:right w:val="single" w:sz="12" w:space="0" w:color="F8F8F8"/>
            </w:tcBorders>
            <w:shd w:val="clear" w:color="auto" w:fill="12263F"/>
          </w:tcPr>
          <w:p w14:paraId="6607959B" w14:textId="5CD47D61" w:rsidR="01E96D0B" w:rsidRPr="0002700F" w:rsidRDefault="01E96D0B" w:rsidP="01E96D0B">
            <w:pPr>
              <w:rPr>
                <w:rFonts w:ascii="Century Gothic" w:eastAsia="Calibri" w:hAnsi="Century Gothic" w:cs="Calibri"/>
                <w:color w:val="F8F8F8"/>
              </w:rPr>
            </w:pPr>
            <w:r w:rsidRPr="0002700F">
              <w:rPr>
                <w:rFonts w:ascii="Century Gothic" w:eastAsia="Calibri" w:hAnsi="Century Gothic" w:cs="Calibri"/>
                <w:caps/>
                <w:color w:val="F8F8F8"/>
              </w:rPr>
              <w:t>CRITERIA</w:t>
            </w:r>
          </w:p>
        </w:tc>
        <w:tc>
          <w:tcPr>
            <w:tcW w:w="7488" w:type="dxa"/>
            <w:tcBorders>
              <w:top w:val="single" w:sz="6" w:space="0" w:color="F8F8F8"/>
              <w:left w:val="single" w:sz="12" w:space="0" w:color="F8F8F8"/>
              <w:bottom w:val="single" w:sz="6" w:space="0" w:color="F8F8F8"/>
              <w:right w:val="single" w:sz="6" w:space="0" w:color="F8F8F8"/>
            </w:tcBorders>
            <w:shd w:val="clear" w:color="auto" w:fill="12263F"/>
          </w:tcPr>
          <w:p w14:paraId="6D5BFA32" w14:textId="13241B91" w:rsidR="01E96D0B" w:rsidRPr="0002700F" w:rsidRDefault="01E96D0B" w:rsidP="01E96D0B">
            <w:pPr>
              <w:rPr>
                <w:rFonts w:ascii="Century Gothic" w:eastAsia="Calibri" w:hAnsi="Century Gothic" w:cs="Calibri"/>
                <w:color w:val="F8F8F8"/>
              </w:rPr>
            </w:pPr>
            <w:r w:rsidRPr="0002700F">
              <w:rPr>
                <w:rFonts w:ascii="Century Gothic" w:eastAsia="Calibri" w:hAnsi="Century Gothic" w:cs="Calibri"/>
                <w:caps/>
                <w:color w:val="F8F8F8"/>
              </w:rPr>
              <w:t>QUALITIES</w:t>
            </w:r>
          </w:p>
        </w:tc>
      </w:tr>
      <w:tr w:rsidR="01E96D0B" w:rsidRPr="0002700F" w14:paraId="7F30FC9A" w14:textId="77777777" w:rsidTr="002568AD">
        <w:tc>
          <w:tcPr>
            <w:tcW w:w="1872" w:type="dxa"/>
            <w:tcBorders>
              <w:top w:val="single" w:sz="6" w:space="0" w:color="F8F8F8"/>
              <w:left w:val="single" w:sz="6" w:space="0" w:color="B9B9B9"/>
              <w:bottom w:val="single" w:sz="6" w:space="0" w:color="B9B9B9"/>
              <w:right w:val="single" w:sz="6" w:space="0" w:color="B9B9B9"/>
            </w:tcBorders>
          </w:tcPr>
          <w:p w14:paraId="20DFECA5" w14:textId="0F689E6A" w:rsidR="01E96D0B" w:rsidRPr="0002700F" w:rsidRDefault="01E96D0B" w:rsidP="01E96D0B">
            <w:pPr>
              <w:rPr>
                <w:rFonts w:ascii="Century Gothic" w:eastAsia="Arial" w:hAnsi="Century Gothic" w:cs="Arial"/>
              </w:rPr>
            </w:pPr>
            <w:r w:rsidRPr="0002700F">
              <w:rPr>
                <w:rFonts w:ascii="Century Gothic" w:eastAsia="Arial" w:hAnsi="Century Gothic" w:cs="Arial"/>
                <w:b/>
                <w:bCs/>
              </w:rPr>
              <w:t xml:space="preserve">Qualifications </w:t>
            </w:r>
            <w:r w:rsidRPr="0002700F">
              <w:rPr>
                <w:rFonts w:ascii="Century Gothic" w:hAnsi="Century Gothic"/>
              </w:rPr>
              <w:br/>
            </w:r>
            <w:r w:rsidRPr="0002700F">
              <w:rPr>
                <w:rFonts w:ascii="Century Gothic" w:eastAsia="Arial" w:hAnsi="Century Gothic" w:cs="Arial"/>
                <w:b/>
                <w:bCs/>
              </w:rPr>
              <w:t>and training</w:t>
            </w:r>
          </w:p>
        </w:tc>
        <w:tc>
          <w:tcPr>
            <w:tcW w:w="7488" w:type="dxa"/>
            <w:tcBorders>
              <w:top w:val="single" w:sz="6" w:space="0" w:color="F8F8F8"/>
              <w:left w:val="single" w:sz="6" w:space="0" w:color="B9B9B9"/>
              <w:bottom w:val="single" w:sz="6" w:space="0" w:color="B9B9B9"/>
              <w:right w:val="single" w:sz="6" w:space="0" w:color="B9B9B9"/>
            </w:tcBorders>
          </w:tcPr>
          <w:p w14:paraId="59C53FEA" w14:textId="5A99F074" w:rsidR="01E96D0B" w:rsidRPr="0002700F" w:rsidRDefault="006C373E"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Degree desirable but not essential</w:t>
            </w:r>
          </w:p>
        </w:tc>
      </w:tr>
      <w:tr w:rsidR="01E96D0B" w:rsidRPr="0002700F" w14:paraId="240ECB71" w14:textId="77777777" w:rsidTr="002568AD">
        <w:tc>
          <w:tcPr>
            <w:tcW w:w="1872" w:type="dxa"/>
            <w:tcBorders>
              <w:top w:val="single" w:sz="6" w:space="0" w:color="B9B9B9"/>
              <w:left w:val="single" w:sz="6" w:space="0" w:color="B9B9B9"/>
              <w:bottom w:val="single" w:sz="6" w:space="0" w:color="B9B9B9"/>
              <w:right w:val="single" w:sz="6" w:space="0" w:color="B9B9B9"/>
            </w:tcBorders>
          </w:tcPr>
          <w:p w14:paraId="538C4155" w14:textId="78A2B686" w:rsidR="01E96D0B" w:rsidRPr="0002700F" w:rsidRDefault="01E96D0B" w:rsidP="01E96D0B">
            <w:pPr>
              <w:rPr>
                <w:rFonts w:ascii="Century Gothic" w:eastAsia="Arial" w:hAnsi="Century Gothic" w:cs="Arial"/>
              </w:rPr>
            </w:pPr>
            <w:r w:rsidRPr="0002700F">
              <w:rPr>
                <w:rFonts w:ascii="Century Gothic" w:eastAsia="Arial" w:hAnsi="Century Gothic" w:cs="Arial"/>
                <w:b/>
                <w:bCs/>
              </w:rPr>
              <w:t>Experience</w:t>
            </w:r>
          </w:p>
        </w:tc>
        <w:tc>
          <w:tcPr>
            <w:tcW w:w="7488" w:type="dxa"/>
            <w:tcBorders>
              <w:top w:val="single" w:sz="6" w:space="0" w:color="B9B9B9"/>
              <w:left w:val="single" w:sz="6" w:space="0" w:color="B9B9B9"/>
              <w:bottom w:val="single" w:sz="6" w:space="0" w:color="B9B9B9"/>
              <w:right w:val="single" w:sz="6" w:space="0" w:color="B9B9B9"/>
            </w:tcBorders>
          </w:tcPr>
          <w:p w14:paraId="639A9190" w14:textId="2F5C5272"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Work in a school/college or administration environment</w:t>
            </w:r>
          </w:p>
          <w:p w14:paraId="1F7455E7" w14:textId="78E0CC81"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Managing the administration of examinations</w:t>
            </w:r>
          </w:p>
          <w:p w14:paraId="3C1328F5" w14:textId="151016AD"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Work with confidential and/or sensitive materials</w:t>
            </w:r>
          </w:p>
          <w:p w14:paraId="05E78F7F" w14:textId="12BAA59D"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Managing other members of staff, such as invigilators</w:t>
            </w:r>
          </w:p>
          <w:p w14:paraId="64FF1700" w14:textId="2A316ACE"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Managing time and workload to meet deadlines</w:t>
            </w:r>
          </w:p>
          <w:p w14:paraId="5168EDA9" w14:textId="0A8ED93A"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Using a management information system (MIS)</w:t>
            </w:r>
          </w:p>
          <w:p w14:paraId="425D6BBF" w14:textId="07028696"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Working with data sets</w:t>
            </w:r>
          </w:p>
          <w:p w14:paraId="12514E84" w14:textId="0A5DF956"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Working with awarding bodies and regulatory organisations, e.g. JCQ</w:t>
            </w:r>
          </w:p>
          <w:p w14:paraId="2A59475F" w14:textId="2A4ACE74"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Complying with statutory regulations set by external bodies</w:t>
            </w:r>
          </w:p>
        </w:tc>
      </w:tr>
      <w:tr w:rsidR="01E96D0B" w:rsidRPr="0002700F" w14:paraId="481BBD26" w14:textId="77777777" w:rsidTr="002568AD">
        <w:tc>
          <w:tcPr>
            <w:tcW w:w="1872" w:type="dxa"/>
            <w:tcBorders>
              <w:top w:val="single" w:sz="6" w:space="0" w:color="B9B9B9"/>
              <w:left w:val="single" w:sz="6" w:space="0" w:color="B9B9B9"/>
              <w:bottom w:val="single" w:sz="6" w:space="0" w:color="B9B9B9"/>
              <w:right w:val="single" w:sz="6" w:space="0" w:color="B9B9B9"/>
            </w:tcBorders>
          </w:tcPr>
          <w:p w14:paraId="1846BFF1" w14:textId="4BCD7894" w:rsidR="01E96D0B" w:rsidRPr="0002700F" w:rsidRDefault="01E96D0B" w:rsidP="01E96D0B">
            <w:pPr>
              <w:rPr>
                <w:rFonts w:ascii="Century Gothic" w:eastAsia="Arial" w:hAnsi="Century Gothic" w:cs="Arial"/>
              </w:rPr>
            </w:pPr>
            <w:r w:rsidRPr="0002700F">
              <w:rPr>
                <w:rFonts w:ascii="Century Gothic" w:eastAsia="Arial" w:hAnsi="Century Gothic" w:cs="Arial"/>
                <w:b/>
                <w:bCs/>
              </w:rPr>
              <w:t>Skills and knowledge</w:t>
            </w:r>
          </w:p>
        </w:tc>
        <w:tc>
          <w:tcPr>
            <w:tcW w:w="7488" w:type="dxa"/>
            <w:tcBorders>
              <w:top w:val="single" w:sz="6" w:space="0" w:color="B9B9B9"/>
              <w:left w:val="single" w:sz="6" w:space="0" w:color="B9B9B9"/>
              <w:bottom w:val="single" w:sz="6" w:space="0" w:color="B9B9B9"/>
              <w:right w:val="single" w:sz="6" w:space="0" w:color="B9B9B9"/>
            </w:tcBorders>
          </w:tcPr>
          <w:p w14:paraId="35B99395" w14:textId="24FB6DE9"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High standard of communication (verbal and written)</w:t>
            </w:r>
          </w:p>
          <w:p w14:paraId="3B62CDE5" w14:textId="0D70B7BC"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Polite and effective interpersonal skills</w:t>
            </w:r>
          </w:p>
          <w:p w14:paraId="5C719BB4" w14:textId="704EB984"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Competent with common IT systems, e.g. Microsoft Office, MIS</w:t>
            </w:r>
          </w:p>
          <w:p w14:paraId="1E8FB377" w14:textId="43E079EF"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Data analysis</w:t>
            </w:r>
          </w:p>
          <w:p w14:paraId="6F98B5D4" w14:textId="0904C9AF"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Time management and planning</w:t>
            </w:r>
          </w:p>
          <w:p w14:paraId="0404BD7E" w14:textId="45071EA6"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Ability to work flexibly and quickly under pressure</w:t>
            </w:r>
          </w:p>
          <w:p w14:paraId="0183AAAB" w14:textId="113FAE6E"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Ability to work across multiple projects and deadlines</w:t>
            </w:r>
          </w:p>
          <w:p w14:paraId="54F4225B" w14:textId="4EAE6877" w:rsidR="01E96D0B" w:rsidRPr="0002700F" w:rsidRDefault="01E96D0B" w:rsidP="006C373E">
            <w:pPr>
              <w:pStyle w:val="ListParagraph"/>
              <w:numPr>
                <w:ilvl w:val="0"/>
                <w:numId w:val="1"/>
              </w:numPr>
              <w:rPr>
                <w:rFonts w:ascii="Century Gothic" w:eastAsiaTheme="minorEastAsia" w:hAnsi="Century Gothic"/>
              </w:rPr>
            </w:pPr>
            <w:r w:rsidRPr="0002700F">
              <w:rPr>
                <w:rFonts w:ascii="Century Gothic" w:eastAsia="Calibri" w:hAnsi="Century Gothic" w:cs="Calibri"/>
              </w:rPr>
              <w:t>Ability to follow policies and procedures set by the school and external agencies</w:t>
            </w:r>
          </w:p>
        </w:tc>
      </w:tr>
      <w:tr w:rsidR="01E96D0B" w:rsidRPr="0002700F" w14:paraId="08DB6BCA" w14:textId="77777777" w:rsidTr="002568AD">
        <w:tc>
          <w:tcPr>
            <w:tcW w:w="1872" w:type="dxa"/>
            <w:tcBorders>
              <w:top w:val="single" w:sz="6" w:space="0" w:color="B9B9B9"/>
              <w:left w:val="single" w:sz="6" w:space="0" w:color="B9B9B9"/>
              <w:bottom w:val="single" w:sz="6" w:space="0" w:color="B9B9B9"/>
              <w:right w:val="single" w:sz="6" w:space="0" w:color="B9B9B9"/>
            </w:tcBorders>
          </w:tcPr>
          <w:p w14:paraId="47FF6AD8" w14:textId="6F3AC3AD" w:rsidR="01E96D0B" w:rsidRPr="0002700F" w:rsidRDefault="01E96D0B" w:rsidP="01E96D0B">
            <w:pPr>
              <w:rPr>
                <w:rFonts w:ascii="Century Gothic" w:eastAsia="Arial" w:hAnsi="Century Gothic" w:cs="Arial"/>
              </w:rPr>
            </w:pPr>
            <w:r w:rsidRPr="0002700F">
              <w:rPr>
                <w:rFonts w:ascii="Century Gothic" w:eastAsia="Arial" w:hAnsi="Century Gothic" w:cs="Arial"/>
                <w:b/>
                <w:bCs/>
              </w:rPr>
              <w:t>Personal qualities</w:t>
            </w:r>
          </w:p>
        </w:tc>
        <w:tc>
          <w:tcPr>
            <w:tcW w:w="7488" w:type="dxa"/>
            <w:tcBorders>
              <w:top w:val="single" w:sz="6" w:space="0" w:color="B9B9B9"/>
              <w:left w:val="single" w:sz="6" w:space="0" w:color="B9B9B9"/>
              <w:bottom w:val="single" w:sz="6" w:space="0" w:color="B9B9B9"/>
              <w:right w:val="single" w:sz="6" w:space="0" w:color="B9B9B9"/>
            </w:tcBorders>
          </w:tcPr>
          <w:p w14:paraId="6FA5A7B5" w14:textId="39230652"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Organised</w:t>
            </w:r>
          </w:p>
          <w:p w14:paraId="5BA76F64" w14:textId="32EF7A2D"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Ability to keep calm under pressure</w:t>
            </w:r>
          </w:p>
          <w:p w14:paraId="04998697" w14:textId="12DF0B04" w:rsidR="01E96D0B" w:rsidRPr="0002700F" w:rsidRDefault="01E96D0B"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Ability to work well in a team, and independently</w:t>
            </w:r>
          </w:p>
          <w:p w14:paraId="11B647E3" w14:textId="3B6ACA65" w:rsidR="006C373E" w:rsidRPr="0002700F" w:rsidRDefault="006C373E"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Ability to be flexible and adaptable</w:t>
            </w:r>
          </w:p>
          <w:p w14:paraId="0AE355D8" w14:textId="365957E5" w:rsidR="0002700F" w:rsidRPr="0002700F" w:rsidRDefault="0002700F" w:rsidP="01E96D0B">
            <w:pPr>
              <w:pStyle w:val="ListParagraph"/>
              <w:numPr>
                <w:ilvl w:val="0"/>
                <w:numId w:val="1"/>
              </w:numPr>
              <w:rPr>
                <w:rFonts w:ascii="Century Gothic" w:eastAsiaTheme="minorEastAsia" w:hAnsi="Century Gothic"/>
              </w:rPr>
            </w:pPr>
            <w:r w:rsidRPr="0002700F">
              <w:rPr>
                <w:rFonts w:ascii="Century Gothic" w:eastAsia="Calibri" w:hAnsi="Century Gothic" w:cs="Calibri"/>
              </w:rPr>
              <w:t>Transparency, Integrity, empathy, humility</w:t>
            </w:r>
          </w:p>
          <w:p w14:paraId="7B542ED9" w14:textId="56A2A598" w:rsidR="01E96D0B" w:rsidRPr="0002700F" w:rsidRDefault="01E96D0B" w:rsidP="0002700F">
            <w:pPr>
              <w:pStyle w:val="ListParagraph"/>
              <w:rPr>
                <w:rFonts w:ascii="Century Gothic" w:eastAsia="Arial" w:hAnsi="Century Gothic" w:cs="Arial"/>
              </w:rPr>
            </w:pPr>
          </w:p>
        </w:tc>
      </w:tr>
    </w:tbl>
    <w:p w14:paraId="2C078E63" w14:textId="49D1DF87" w:rsidR="00C84E8C" w:rsidRDefault="00C84E8C" w:rsidP="01E96D0B"/>
    <w:p w14:paraId="49F72113" w14:textId="77777777" w:rsidR="006040B3" w:rsidRPr="00EF2F48" w:rsidRDefault="006040B3" w:rsidP="006040B3">
      <w:pPr>
        <w:spacing w:after="1" w:line="239" w:lineRule="auto"/>
        <w:jc w:val="both"/>
        <w:rPr>
          <w:rFonts w:ascii="Century Gothic" w:hAnsi="Century Gothic"/>
        </w:rPr>
      </w:pPr>
      <w:r>
        <w:rPr>
          <w:rFonts w:ascii="Century Gothic" w:hAnsi="Century Gothic"/>
          <w:b/>
          <w:i/>
        </w:rPr>
        <w:t>Great Oaks Small</w:t>
      </w:r>
      <w:r w:rsidRPr="00EF2F48">
        <w:rPr>
          <w:rFonts w:ascii="Century Gothic" w:hAnsi="Century Gothic"/>
          <w:b/>
          <w:i/>
        </w:rPr>
        <w:t xml:space="preserve"> School is committed to safeguarding and promoting the welfare of children and young people and expects all staff and volunteers to share this commitment. The post is subject to an Enhanced Disclosure Application to the Disclosure and Barring Service and check against the ISA Barred List for Children. </w:t>
      </w:r>
    </w:p>
    <w:p w14:paraId="28BCA4CE" w14:textId="77777777" w:rsidR="006040B3" w:rsidRPr="00EF2F48" w:rsidRDefault="006040B3" w:rsidP="006040B3">
      <w:pPr>
        <w:spacing w:after="0"/>
        <w:ind w:left="46"/>
        <w:jc w:val="both"/>
        <w:rPr>
          <w:rFonts w:ascii="Century Gothic" w:hAnsi="Century Gothic"/>
        </w:rPr>
      </w:pPr>
      <w:r w:rsidRPr="00EF2F48">
        <w:rPr>
          <w:rFonts w:ascii="Century Gothic" w:hAnsi="Century Gothic"/>
          <w:b/>
          <w:i/>
        </w:rPr>
        <w:t xml:space="preserve"> </w:t>
      </w:r>
    </w:p>
    <w:p w14:paraId="680B3093" w14:textId="77777777" w:rsidR="006040B3" w:rsidRPr="00EF2F48" w:rsidRDefault="006040B3" w:rsidP="006040B3">
      <w:pPr>
        <w:spacing w:before="240" w:after="0" w:line="239" w:lineRule="auto"/>
        <w:jc w:val="both"/>
        <w:rPr>
          <w:rFonts w:ascii="Century Gothic" w:hAnsi="Century Gothic"/>
        </w:rPr>
      </w:pPr>
      <w:r>
        <w:rPr>
          <w:rFonts w:ascii="Century Gothic" w:hAnsi="Century Gothic"/>
          <w:b/>
          <w:i/>
        </w:rPr>
        <w:lastRenderedPageBreak/>
        <w:t>Great Oaks Small</w:t>
      </w:r>
      <w:r w:rsidRPr="00EF2F48">
        <w:rPr>
          <w:rFonts w:ascii="Century Gothic" w:hAnsi="Century Gothic"/>
          <w:b/>
          <w:i/>
        </w:rPr>
        <w:t xml:space="preserve"> School recogni</w:t>
      </w:r>
      <w:r>
        <w:rPr>
          <w:rFonts w:ascii="Century Gothic" w:hAnsi="Century Gothic"/>
          <w:b/>
          <w:i/>
        </w:rPr>
        <w:t>s</w:t>
      </w:r>
      <w:r w:rsidRPr="00EF2F48">
        <w:rPr>
          <w:rFonts w:ascii="Century Gothic" w:hAnsi="Century Gothic"/>
          <w:b/>
          <w:i/>
        </w:rPr>
        <w:t>es diversity and welcomes applications from anyone with relevant qualifications and knowledge</w:t>
      </w:r>
      <w:r w:rsidRPr="00EF2F48">
        <w:rPr>
          <w:rFonts w:ascii="Century Gothic" w:hAnsi="Century Gothic"/>
        </w:rPr>
        <w:t xml:space="preserve">. </w:t>
      </w:r>
    </w:p>
    <w:p w14:paraId="137910FE" w14:textId="77777777" w:rsidR="006C373E" w:rsidRDefault="006C373E" w:rsidP="01E96D0B"/>
    <w:p w14:paraId="023F1E9A" w14:textId="769EB576" w:rsidR="006040B3" w:rsidRPr="006040B3" w:rsidRDefault="006040B3" w:rsidP="01E96D0B">
      <w:pPr>
        <w:rPr>
          <w:rFonts w:ascii="Century Gothic" w:hAnsi="Century Gothic"/>
        </w:rPr>
      </w:pPr>
      <w:r w:rsidRPr="006040B3">
        <w:rPr>
          <w:rFonts w:ascii="Century Gothic" w:hAnsi="Century Gothic"/>
        </w:rPr>
        <w:t>November 2023</w:t>
      </w:r>
    </w:p>
    <w:sectPr w:rsidR="006040B3" w:rsidRPr="006040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0BB7" w14:textId="77777777" w:rsidR="006040B3" w:rsidRDefault="006040B3" w:rsidP="006040B3">
      <w:pPr>
        <w:spacing w:after="0" w:line="240" w:lineRule="auto"/>
      </w:pPr>
      <w:r>
        <w:separator/>
      </w:r>
    </w:p>
  </w:endnote>
  <w:endnote w:type="continuationSeparator" w:id="0">
    <w:p w14:paraId="3893618B" w14:textId="77777777" w:rsidR="006040B3" w:rsidRDefault="006040B3" w:rsidP="0060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5575"/>
      <w:docPartObj>
        <w:docPartGallery w:val="Page Numbers (Bottom of Page)"/>
        <w:docPartUnique/>
      </w:docPartObj>
    </w:sdtPr>
    <w:sdtEndPr/>
    <w:sdtContent>
      <w:p w14:paraId="1A5F50F1" w14:textId="33260D34" w:rsidR="006040B3" w:rsidRDefault="006040B3">
        <w:pPr>
          <w:pStyle w:val="Footer"/>
          <w:jc w:val="right"/>
        </w:pPr>
        <w:r>
          <w:fldChar w:fldCharType="begin"/>
        </w:r>
        <w:r>
          <w:instrText>PAGE   \* MERGEFORMAT</w:instrText>
        </w:r>
        <w:r>
          <w:fldChar w:fldCharType="separate"/>
        </w:r>
        <w:r>
          <w:rPr>
            <w:lang w:val="en-GB"/>
          </w:rPr>
          <w:t>2</w:t>
        </w:r>
        <w:r>
          <w:fldChar w:fldCharType="end"/>
        </w:r>
      </w:p>
    </w:sdtContent>
  </w:sdt>
  <w:p w14:paraId="00949962" w14:textId="77777777" w:rsidR="006040B3" w:rsidRDefault="00604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361B" w14:textId="77777777" w:rsidR="006040B3" w:rsidRDefault="006040B3" w:rsidP="006040B3">
      <w:pPr>
        <w:spacing w:after="0" w:line="240" w:lineRule="auto"/>
      </w:pPr>
      <w:r>
        <w:separator/>
      </w:r>
    </w:p>
  </w:footnote>
  <w:footnote w:type="continuationSeparator" w:id="0">
    <w:p w14:paraId="2976E4FF" w14:textId="77777777" w:rsidR="006040B3" w:rsidRDefault="006040B3" w:rsidP="00604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866"/>
    <w:multiLevelType w:val="hybridMultilevel"/>
    <w:tmpl w:val="C5EEEA2E"/>
    <w:lvl w:ilvl="0" w:tplc="6F22D0F6">
      <w:start w:val="1"/>
      <w:numFmt w:val="bullet"/>
      <w:lvlText w:val="o"/>
      <w:lvlJc w:val="left"/>
      <w:pPr>
        <w:ind w:left="720" w:hanging="360"/>
      </w:pPr>
      <w:rPr>
        <w:rFonts w:ascii="Symbol" w:hAnsi="Symbol" w:hint="default"/>
      </w:rPr>
    </w:lvl>
    <w:lvl w:ilvl="1" w:tplc="E536E6C4">
      <w:start w:val="1"/>
      <w:numFmt w:val="bullet"/>
      <w:lvlText w:val="o"/>
      <w:lvlJc w:val="left"/>
      <w:pPr>
        <w:ind w:left="1440" w:hanging="360"/>
      </w:pPr>
      <w:rPr>
        <w:rFonts w:ascii="Courier New" w:hAnsi="Courier New" w:hint="default"/>
      </w:rPr>
    </w:lvl>
    <w:lvl w:ilvl="2" w:tplc="A1A0E424">
      <w:start w:val="1"/>
      <w:numFmt w:val="bullet"/>
      <w:lvlText w:val=""/>
      <w:lvlJc w:val="left"/>
      <w:pPr>
        <w:ind w:left="2160" w:hanging="360"/>
      </w:pPr>
      <w:rPr>
        <w:rFonts w:ascii="Wingdings" w:hAnsi="Wingdings" w:hint="default"/>
      </w:rPr>
    </w:lvl>
    <w:lvl w:ilvl="3" w:tplc="BC9EAA38">
      <w:start w:val="1"/>
      <w:numFmt w:val="bullet"/>
      <w:lvlText w:val=""/>
      <w:lvlJc w:val="left"/>
      <w:pPr>
        <w:ind w:left="2880" w:hanging="360"/>
      </w:pPr>
      <w:rPr>
        <w:rFonts w:ascii="Symbol" w:hAnsi="Symbol" w:hint="default"/>
      </w:rPr>
    </w:lvl>
    <w:lvl w:ilvl="4" w:tplc="B58E98BC">
      <w:start w:val="1"/>
      <w:numFmt w:val="bullet"/>
      <w:lvlText w:val="o"/>
      <w:lvlJc w:val="left"/>
      <w:pPr>
        <w:ind w:left="3600" w:hanging="360"/>
      </w:pPr>
      <w:rPr>
        <w:rFonts w:ascii="Courier New" w:hAnsi="Courier New" w:hint="default"/>
      </w:rPr>
    </w:lvl>
    <w:lvl w:ilvl="5" w:tplc="E7D8E330">
      <w:start w:val="1"/>
      <w:numFmt w:val="bullet"/>
      <w:lvlText w:val=""/>
      <w:lvlJc w:val="left"/>
      <w:pPr>
        <w:ind w:left="4320" w:hanging="360"/>
      </w:pPr>
      <w:rPr>
        <w:rFonts w:ascii="Wingdings" w:hAnsi="Wingdings" w:hint="default"/>
      </w:rPr>
    </w:lvl>
    <w:lvl w:ilvl="6" w:tplc="4E2EB892">
      <w:start w:val="1"/>
      <w:numFmt w:val="bullet"/>
      <w:lvlText w:val=""/>
      <w:lvlJc w:val="left"/>
      <w:pPr>
        <w:ind w:left="5040" w:hanging="360"/>
      </w:pPr>
      <w:rPr>
        <w:rFonts w:ascii="Symbol" w:hAnsi="Symbol" w:hint="default"/>
      </w:rPr>
    </w:lvl>
    <w:lvl w:ilvl="7" w:tplc="3DD69CFE">
      <w:start w:val="1"/>
      <w:numFmt w:val="bullet"/>
      <w:lvlText w:val="o"/>
      <w:lvlJc w:val="left"/>
      <w:pPr>
        <w:ind w:left="5760" w:hanging="360"/>
      </w:pPr>
      <w:rPr>
        <w:rFonts w:ascii="Courier New" w:hAnsi="Courier New" w:hint="default"/>
      </w:rPr>
    </w:lvl>
    <w:lvl w:ilvl="8" w:tplc="55A286A4">
      <w:start w:val="1"/>
      <w:numFmt w:val="bullet"/>
      <w:lvlText w:val=""/>
      <w:lvlJc w:val="left"/>
      <w:pPr>
        <w:ind w:left="6480" w:hanging="360"/>
      </w:pPr>
      <w:rPr>
        <w:rFonts w:ascii="Wingdings" w:hAnsi="Wingdings" w:hint="default"/>
      </w:rPr>
    </w:lvl>
  </w:abstractNum>
  <w:abstractNum w:abstractNumId="1" w15:restartNumberingAfterBreak="0">
    <w:nsid w:val="6ADC3B02"/>
    <w:multiLevelType w:val="multilevel"/>
    <w:tmpl w:val="F540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78980">
    <w:abstractNumId w:val="0"/>
  </w:num>
  <w:num w:numId="2" w16cid:durableId="1868983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4FC758"/>
    <w:rsid w:val="0002700F"/>
    <w:rsid w:val="000D5B71"/>
    <w:rsid w:val="002568AD"/>
    <w:rsid w:val="004B7EE5"/>
    <w:rsid w:val="00523218"/>
    <w:rsid w:val="006040B3"/>
    <w:rsid w:val="006A74E9"/>
    <w:rsid w:val="006C373E"/>
    <w:rsid w:val="007B7C45"/>
    <w:rsid w:val="007C61B9"/>
    <w:rsid w:val="009A695A"/>
    <w:rsid w:val="009C2CA3"/>
    <w:rsid w:val="00B15F8B"/>
    <w:rsid w:val="00C84E8C"/>
    <w:rsid w:val="00D021EB"/>
    <w:rsid w:val="00E63709"/>
    <w:rsid w:val="01E96D0B"/>
    <w:rsid w:val="704FC758"/>
    <w:rsid w:val="7C0B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C758"/>
  <w15:chartTrackingRefBased/>
  <w15:docId w15:val="{5CC550C2-F260-4970-B06C-12036631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04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0B3"/>
  </w:style>
  <w:style w:type="paragraph" w:styleId="Footer">
    <w:name w:val="footer"/>
    <w:basedOn w:val="Normal"/>
    <w:link w:val="FooterChar"/>
    <w:uiPriority w:val="99"/>
    <w:unhideWhenUsed/>
    <w:rsid w:val="00604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9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Oaks Small School Office</dc:creator>
  <cp:keywords/>
  <dc:description/>
  <cp:lastModifiedBy>Great Oaks Small School Office</cp:lastModifiedBy>
  <cp:revision>2</cp:revision>
  <dcterms:created xsi:type="dcterms:W3CDTF">2023-11-08T09:51:00Z</dcterms:created>
  <dcterms:modified xsi:type="dcterms:W3CDTF">2023-11-08T09:51:00Z</dcterms:modified>
</cp:coreProperties>
</file>