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F149BD" w:rsidRDefault="00A66F07">
      <w:pPr>
        <w:jc w:val="right"/>
        <w:rPr>
          <w:outline/>
          <w:color w:val="4F81BD" w:themeColor="accent1"/>
          <w:sz w:val="66"/>
          <w:szCs w:val="66"/>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14:textFill>
            <w14:noFill/>
          </w14:textFill>
        </w:rPr>
      </w:pPr>
      <w:r>
        <w:rPr>
          <w:noProof/>
        </w:rPr>
        <mc:AlternateContent>
          <mc:Choice Requires="wps">
            <w:drawing>
              <wp:anchor distT="0" distB="0" distL="114300" distR="114300" simplePos="0" relativeHeight="2" behindDoc="0" locked="0" layoutInCell="1" allowOverlap="1" wp14:anchorId="172263F2">
                <wp:simplePos x="0" y="0"/>
                <wp:positionH relativeFrom="column">
                  <wp:posOffset>20320</wp:posOffset>
                </wp:positionH>
                <wp:positionV relativeFrom="paragraph">
                  <wp:posOffset>-198755</wp:posOffset>
                </wp:positionV>
                <wp:extent cx="1045210" cy="949325"/>
                <wp:effectExtent l="0" t="0" r="3810" b="4445"/>
                <wp:wrapNone/>
                <wp:docPr id="1" name="Text Box 2"/>
                <wp:cNvGraphicFramePr/>
                <a:graphic xmlns:a="http://schemas.openxmlformats.org/drawingml/2006/main">
                  <a:graphicData uri="http://schemas.microsoft.com/office/word/2010/wordprocessingShape">
                    <wps:wsp>
                      <wps:cNvSpPr/>
                      <wps:spPr>
                        <a:xfrm>
                          <a:off x="0" y="0"/>
                          <a:ext cx="1044720" cy="948600"/>
                        </a:xfrm>
                        <a:prstGeom prst="rect">
                          <a:avLst/>
                        </a:prstGeom>
                        <a:solidFill>
                          <a:schemeClr val="lt1"/>
                        </a:solidFill>
                        <a:ln w="6480">
                          <a:noFill/>
                        </a:ln>
                      </wps:spPr>
                      <wps:style>
                        <a:lnRef idx="0">
                          <a:schemeClr val="accent1"/>
                        </a:lnRef>
                        <a:fillRef idx="0">
                          <a:schemeClr val="accent1"/>
                        </a:fillRef>
                        <a:effectRef idx="0">
                          <a:schemeClr val="accent1"/>
                        </a:effectRef>
                        <a:fontRef idx="minor"/>
                      </wps:style>
                      <wps:txbx>
                        <w:txbxContent>
                          <w:p w:rsidR="00F149BD" w:rsidRDefault="00A66F07">
                            <w:pPr>
                              <w:pStyle w:val="FrameContents"/>
                              <w:rPr>
                                <w:color w:val="000000"/>
                              </w:rPr>
                            </w:pPr>
                            <w:r>
                              <w:rPr>
                                <w:noProof/>
                                <w:color w:val="000000"/>
                              </w:rPr>
                              <w:drawing>
                                <wp:inline distT="0" distB="0" distL="0" distR="0">
                                  <wp:extent cx="805815" cy="900430"/>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pic:cNvPicPr>
                                            <a:picLocks noChangeAspect="1" noChangeArrowheads="1"/>
                                          </pic:cNvPicPr>
                                        </pic:nvPicPr>
                                        <pic:blipFill>
                                          <a:blip r:embed="rId6"/>
                                          <a:stretch>
                                            <a:fillRect/>
                                          </a:stretch>
                                        </pic:blipFill>
                                        <pic:spPr bwMode="auto">
                                          <a:xfrm>
                                            <a:off x="0" y="0"/>
                                            <a:ext cx="805815" cy="900430"/>
                                          </a:xfrm>
                                          <a:prstGeom prst="rect">
                                            <a:avLst/>
                                          </a:prstGeom>
                                        </pic:spPr>
                                      </pic:pic>
                                    </a:graphicData>
                                  </a:graphic>
                                </wp:inline>
                              </w:drawing>
                            </w:r>
                          </w:p>
                        </w:txbxContent>
                      </wps:txbx>
                      <wps:bodyPr>
                        <a:prstTxWarp prst="textNoShape">
                          <a:avLst/>
                        </a:prstTxWarp>
                        <a:noAutofit/>
                      </wps:bodyPr>
                    </wps:wsp>
                  </a:graphicData>
                </a:graphic>
              </wp:anchor>
            </w:drawing>
          </mc:Choice>
          <mc:Fallback>
            <w:pict>
              <v:rect id="shape_0" ID="Text Box 2" fillcolor="white" stroked="f" style="position:absolute;margin-left:1.6pt;margin-top:-15.65pt;width:82.2pt;height:74.65pt" wp14:anchorId="172263F2">
                <w10:wrap type="none"/>
                <v:fill o:detectmouseclick="t" type="solid" color2="black"/>
                <v:stroke color="#3465a4" weight="6480" joinstyle="round" endcap="flat"/>
                <v:textbox>
                  <w:txbxContent>
                    <w:p>
                      <w:pPr>
                        <w:pStyle w:val="FrameContents"/>
                        <w:spacing w:before="0" w:after="200"/>
                        <w:rPr>
                          <w:color w:val="000000"/>
                        </w:rPr>
                      </w:pPr>
                      <w:r>
                        <w:rPr>
                          <w:color w:val="000000"/>
                        </w:rPr>
                        <w:drawing>
                          <wp:inline distT="0" distB="0" distL="0" distR="0">
                            <wp:extent cx="805815" cy="900430"/>
                            <wp:effectExtent l="0" t="0" r="0" b="0"/>
                            <wp:docPr id="4" name="Pictur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
                                    <pic:cNvPicPr>
                                      <a:picLocks noChangeAspect="1" noChangeArrowheads="1"/>
                                    </pic:cNvPicPr>
                                  </pic:nvPicPr>
                                  <pic:blipFill>
                                    <a:blip r:embed="rId7"/>
                                    <a:stretch>
                                      <a:fillRect/>
                                    </a:stretch>
                                  </pic:blipFill>
                                  <pic:spPr bwMode="auto">
                                    <a:xfrm>
                                      <a:off x="0" y="0"/>
                                      <a:ext cx="805815" cy="900430"/>
                                    </a:xfrm>
                                    <a:prstGeom prst="rect">
                                      <a:avLst/>
                                    </a:prstGeom>
                                  </pic:spPr>
                                </pic:pic>
                              </a:graphicData>
                            </a:graphic>
                          </wp:inline>
                        </w:drawing>
                      </w:r>
                    </w:p>
                  </w:txbxContent>
                </v:textbox>
              </v:rect>
            </w:pict>
          </mc:Fallback>
        </mc:AlternateContent>
      </w:r>
      <w:r>
        <w:rPr>
          <w:outline/>
          <w:color w:val="4F81BD" w:themeColor="accent1"/>
          <w:sz w:val="66"/>
          <w:szCs w:val="66"/>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14:textFill>
            <w14:noFill/>
          </w14:textFill>
        </w:rPr>
        <w:t>Sandwich Technology School</w:t>
      </w:r>
    </w:p>
    <w:p w:rsidR="00F149BD" w:rsidRDefault="00A66F07">
      <w:pPr>
        <w:jc w:val="both"/>
        <w:rPr>
          <w:sz w:val="16"/>
          <w:szCs w:val="16"/>
        </w:rPr>
      </w:pPr>
      <w:r>
        <w:rPr>
          <w:outline/>
          <w:color w:val="4F81BD" w:themeColor="accent1"/>
          <w:sz w:val="16"/>
          <w:szCs w:val="16"/>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14:textFill>
            <w14:noFill/>
          </w14:textFill>
        </w:rPr>
        <w:t>__________________________________________________________________________________________________________________</w:t>
      </w:r>
    </w:p>
    <w:tbl>
      <w:tblPr>
        <w:tblStyle w:val="TableGrid"/>
        <w:tblW w:w="10881" w:type="dxa"/>
        <w:tblLook w:val="04A0" w:firstRow="1" w:lastRow="0" w:firstColumn="1" w:lastColumn="0" w:noHBand="0" w:noVBand="1"/>
      </w:tblPr>
      <w:tblGrid>
        <w:gridCol w:w="1809"/>
        <w:gridCol w:w="9072"/>
      </w:tblGrid>
      <w:tr w:rsidR="00F149BD">
        <w:trPr>
          <w:trHeight w:val="558"/>
        </w:trPr>
        <w:tc>
          <w:tcPr>
            <w:tcW w:w="1809" w:type="dxa"/>
            <w:tcBorders>
              <w:top w:val="nil"/>
              <w:left w:val="nil"/>
              <w:bottom w:val="nil"/>
              <w:right w:val="single" w:sz="48" w:space="0" w:color="29486D"/>
            </w:tcBorders>
            <w:shd w:val="clear" w:color="auto" w:fill="auto"/>
            <w:vAlign w:val="center"/>
          </w:tcPr>
          <w:p w:rsidR="00F149BD" w:rsidRDefault="00A66F07">
            <w:pPr>
              <w:spacing w:after="0" w:line="240" w:lineRule="auto"/>
              <w:rPr>
                <w:b/>
                <w:color w:val="365F91" w:themeColor="accent1" w:themeShade="BF"/>
                <w:sz w:val="20"/>
                <w:szCs w:val="20"/>
              </w:rPr>
            </w:pPr>
            <w:r>
              <w:rPr>
                <w:b/>
                <w:color w:val="365F91" w:themeColor="accent1" w:themeShade="BF"/>
                <w:sz w:val="20"/>
                <w:szCs w:val="20"/>
              </w:rPr>
              <w:t>Role Title</w:t>
            </w:r>
          </w:p>
        </w:tc>
        <w:tc>
          <w:tcPr>
            <w:tcW w:w="9071" w:type="dxa"/>
            <w:tcBorders>
              <w:top w:val="nil"/>
              <w:left w:val="single" w:sz="48" w:space="0" w:color="29486D"/>
              <w:bottom w:val="nil"/>
              <w:right w:val="nil"/>
            </w:tcBorders>
            <w:shd w:val="clear" w:color="auto" w:fill="auto"/>
            <w:vAlign w:val="center"/>
          </w:tcPr>
          <w:p w:rsidR="00F149BD" w:rsidRDefault="00A66F07">
            <w:pPr>
              <w:spacing w:after="0" w:line="240" w:lineRule="auto"/>
              <w:rPr>
                <w:rFonts w:eastAsia="Times New Roman"/>
                <w:outline/>
                <w:color w:val="4F81BD" w:themeColor="accent1"/>
                <w:sz w:val="36"/>
                <w:szCs w:val="36"/>
                <w:lang w:eastAsia="en-GB"/>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14:textFill>
                  <w14:noFill/>
                </w14:textFill>
              </w:rPr>
            </w:pPr>
            <w:r>
              <w:rPr>
                <w:rFonts w:eastAsia="Times New Roman"/>
                <w:outline/>
                <w:color w:val="4F81BD" w:themeColor="accent1"/>
                <w:sz w:val="36"/>
                <w:szCs w:val="36"/>
                <w:lang w:eastAsia="en-GB"/>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14:textFill>
                  <w14:noFill/>
                </w14:textFill>
              </w:rPr>
              <w:t>Year Manager</w:t>
            </w:r>
          </w:p>
        </w:tc>
      </w:tr>
      <w:tr w:rsidR="00F149BD">
        <w:trPr>
          <w:trHeight w:val="695"/>
        </w:trPr>
        <w:tc>
          <w:tcPr>
            <w:tcW w:w="1809" w:type="dxa"/>
            <w:tcBorders>
              <w:top w:val="nil"/>
              <w:left w:val="nil"/>
              <w:bottom w:val="nil"/>
              <w:right w:val="single" w:sz="48" w:space="0" w:color="4070AA"/>
            </w:tcBorders>
            <w:shd w:val="clear" w:color="auto" w:fill="auto"/>
          </w:tcPr>
          <w:p w:rsidR="00F149BD" w:rsidRDefault="00F149BD">
            <w:pPr>
              <w:spacing w:after="0" w:line="240" w:lineRule="auto"/>
              <w:rPr>
                <w:b/>
                <w:color w:val="365F91" w:themeColor="accent1" w:themeShade="BF"/>
                <w:sz w:val="20"/>
                <w:szCs w:val="20"/>
              </w:rPr>
            </w:pPr>
          </w:p>
          <w:p w:rsidR="00F149BD" w:rsidRDefault="00A66F07">
            <w:pPr>
              <w:spacing w:after="0" w:line="240" w:lineRule="auto"/>
              <w:rPr>
                <w:b/>
                <w:color w:val="365F91" w:themeColor="accent1" w:themeShade="BF"/>
                <w:sz w:val="20"/>
                <w:szCs w:val="20"/>
              </w:rPr>
            </w:pPr>
            <w:r>
              <w:rPr>
                <w:b/>
                <w:color w:val="365F91" w:themeColor="accent1" w:themeShade="BF"/>
                <w:sz w:val="20"/>
                <w:szCs w:val="20"/>
              </w:rPr>
              <w:t>Job Purpose</w:t>
            </w:r>
          </w:p>
        </w:tc>
        <w:tc>
          <w:tcPr>
            <w:tcW w:w="9071" w:type="dxa"/>
            <w:tcBorders>
              <w:top w:val="nil"/>
              <w:left w:val="single" w:sz="48" w:space="0" w:color="4070AA"/>
              <w:bottom w:val="nil"/>
              <w:right w:val="nil"/>
            </w:tcBorders>
            <w:shd w:val="clear" w:color="auto" w:fill="auto"/>
          </w:tcPr>
          <w:p w:rsidR="00F149BD" w:rsidRDefault="00F149BD">
            <w:pPr>
              <w:spacing w:after="0" w:line="240" w:lineRule="auto"/>
              <w:rPr>
                <w:b/>
                <w:sz w:val="20"/>
                <w:szCs w:val="20"/>
              </w:rPr>
            </w:pPr>
          </w:p>
          <w:p w:rsidR="00F149BD" w:rsidRDefault="00A66F07">
            <w:pPr>
              <w:spacing w:after="0" w:line="240" w:lineRule="auto"/>
              <w:rPr>
                <w:rFonts w:eastAsia="Times New Roman"/>
                <w:sz w:val="20"/>
                <w:szCs w:val="20"/>
              </w:rPr>
            </w:pPr>
            <w:r>
              <w:rPr>
                <w:sz w:val="20"/>
                <w:szCs w:val="20"/>
              </w:rPr>
              <w:t>To support the school’s aims through the develo</w:t>
            </w:r>
            <w:r>
              <w:rPr>
                <w:sz w:val="20"/>
                <w:szCs w:val="20"/>
              </w:rPr>
              <w:t>pment of a student focussed pastoral support system.</w:t>
            </w:r>
          </w:p>
        </w:tc>
      </w:tr>
      <w:tr w:rsidR="00F149BD">
        <w:trPr>
          <w:trHeight w:val="87"/>
        </w:trPr>
        <w:tc>
          <w:tcPr>
            <w:tcW w:w="1809" w:type="dxa"/>
            <w:tcBorders>
              <w:top w:val="nil"/>
              <w:left w:val="nil"/>
              <w:bottom w:val="nil"/>
              <w:right w:val="single" w:sz="48" w:space="0" w:color="6B95C7"/>
            </w:tcBorders>
            <w:shd w:val="clear" w:color="auto" w:fill="auto"/>
          </w:tcPr>
          <w:p w:rsidR="00F149BD" w:rsidRDefault="00F149BD">
            <w:pPr>
              <w:spacing w:after="0" w:line="240" w:lineRule="auto"/>
              <w:rPr>
                <w:b/>
                <w:color w:val="365F91" w:themeColor="accent1" w:themeShade="BF"/>
                <w:sz w:val="20"/>
                <w:szCs w:val="20"/>
              </w:rPr>
            </w:pPr>
          </w:p>
        </w:tc>
        <w:tc>
          <w:tcPr>
            <w:tcW w:w="9071" w:type="dxa"/>
            <w:tcBorders>
              <w:top w:val="nil"/>
              <w:left w:val="single" w:sz="48" w:space="0" w:color="6B95C7"/>
              <w:bottom w:val="nil"/>
              <w:right w:val="nil"/>
            </w:tcBorders>
            <w:shd w:val="clear" w:color="auto" w:fill="auto"/>
          </w:tcPr>
          <w:p w:rsidR="00F149BD" w:rsidRDefault="00F149BD">
            <w:pPr>
              <w:spacing w:after="0" w:line="240" w:lineRule="auto"/>
              <w:jc w:val="both"/>
              <w:rPr>
                <w:rFonts w:eastAsia="Times New Roman"/>
                <w:sz w:val="20"/>
                <w:szCs w:val="20"/>
                <w:lang w:eastAsia="en-GB"/>
              </w:rPr>
            </w:pPr>
          </w:p>
        </w:tc>
      </w:tr>
      <w:tr w:rsidR="00F149BD">
        <w:tc>
          <w:tcPr>
            <w:tcW w:w="1809" w:type="dxa"/>
            <w:tcBorders>
              <w:top w:val="nil"/>
              <w:left w:val="nil"/>
              <w:bottom w:val="nil"/>
              <w:right w:val="single" w:sz="48" w:space="0" w:color="92B1D6"/>
            </w:tcBorders>
            <w:shd w:val="clear" w:color="auto" w:fill="auto"/>
          </w:tcPr>
          <w:p w:rsidR="00F149BD" w:rsidRDefault="00A66F07">
            <w:pPr>
              <w:spacing w:after="0" w:line="240" w:lineRule="auto"/>
              <w:rPr>
                <w:b/>
                <w:color w:val="365F91" w:themeColor="accent1" w:themeShade="BF"/>
                <w:sz w:val="20"/>
                <w:szCs w:val="20"/>
              </w:rPr>
            </w:pPr>
            <w:r>
              <w:rPr>
                <w:b/>
                <w:color w:val="365F91" w:themeColor="accent1" w:themeShade="BF"/>
                <w:sz w:val="20"/>
                <w:szCs w:val="20"/>
              </w:rPr>
              <w:t>Principal Accountabilities</w:t>
            </w:r>
          </w:p>
        </w:tc>
        <w:tc>
          <w:tcPr>
            <w:tcW w:w="9071" w:type="dxa"/>
            <w:tcBorders>
              <w:top w:val="nil"/>
              <w:left w:val="single" w:sz="48" w:space="0" w:color="92B1D6"/>
              <w:bottom w:val="nil"/>
              <w:right w:val="nil"/>
            </w:tcBorders>
            <w:shd w:val="clear" w:color="auto" w:fill="auto"/>
          </w:tcPr>
          <w:p w:rsidR="00F149BD" w:rsidRDefault="00A66F07">
            <w:pPr>
              <w:numPr>
                <w:ilvl w:val="0"/>
                <w:numId w:val="3"/>
              </w:numPr>
              <w:spacing w:after="0"/>
              <w:rPr>
                <w:rFonts w:eastAsia="Times New Roman"/>
                <w:sz w:val="20"/>
                <w:szCs w:val="20"/>
              </w:rPr>
            </w:pPr>
            <w:r>
              <w:rPr>
                <w:rFonts w:eastAsia="Times New Roman"/>
                <w:sz w:val="20"/>
                <w:szCs w:val="20"/>
              </w:rPr>
              <w:t>To develop positive working relationships with each member of the Year Team.</w:t>
            </w:r>
          </w:p>
          <w:p w:rsidR="00F149BD" w:rsidRDefault="00A66F07">
            <w:pPr>
              <w:numPr>
                <w:ilvl w:val="0"/>
                <w:numId w:val="3"/>
              </w:numPr>
              <w:spacing w:after="0"/>
              <w:rPr>
                <w:rFonts w:eastAsia="Times New Roman"/>
                <w:sz w:val="20"/>
                <w:szCs w:val="20"/>
              </w:rPr>
            </w:pPr>
            <w:r>
              <w:rPr>
                <w:rFonts w:eastAsia="Times New Roman"/>
                <w:sz w:val="20"/>
                <w:szCs w:val="20"/>
              </w:rPr>
              <w:t xml:space="preserve">To liaise with parents as directed to keep them informed of all aspects relating to their </w:t>
            </w:r>
            <w:r>
              <w:rPr>
                <w:rFonts w:eastAsia="Times New Roman"/>
                <w:sz w:val="20"/>
                <w:szCs w:val="20"/>
              </w:rPr>
              <w:t>child’s progress.</w:t>
            </w:r>
          </w:p>
          <w:p w:rsidR="00F149BD" w:rsidRDefault="00A66F07">
            <w:pPr>
              <w:numPr>
                <w:ilvl w:val="0"/>
                <w:numId w:val="3"/>
              </w:numPr>
              <w:spacing w:after="0"/>
              <w:rPr>
                <w:rFonts w:ascii="Times New Roman" w:eastAsia="Times New Roman" w:hAnsi="Times New Roman" w:cs="Times New Roman"/>
                <w:sz w:val="20"/>
                <w:szCs w:val="20"/>
              </w:rPr>
            </w:pPr>
            <w:r>
              <w:rPr>
                <w:rFonts w:eastAsia="Times New Roman"/>
                <w:sz w:val="20"/>
                <w:szCs w:val="20"/>
              </w:rPr>
              <w:t>To follow and implement the guidelines for Restorative Justice when supporting staff and students in the college</w:t>
            </w:r>
          </w:p>
          <w:p w:rsidR="00F149BD" w:rsidRDefault="00A66F07">
            <w:pPr>
              <w:numPr>
                <w:ilvl w:val="0"/>
                <w:numId w:val="3"/>
              </w:numPr>
              <w:spacing w:after="0"/>
              <w:rPr>
                <w:rFonts w:ascii="Times New Roman" w:eastAsia="Times New Roman" w:hAnsi="Times New Roman" w:cs="Times New Roman"/>
                <w:sz w:val="20"/>
                <w:szCs w:val="20"/>
              </w:rPr>
            </w:pPr>
            <w:r>
              <w:rPr>
                <w:rFonts w:eastAsia="Times New Roman"/>
                <w:sz w:val="20"/>
                <w:szCs w:val="20"/>
              </w:rPr>
              <w:t>To contribute to the supervision of students in the Refection room, Alps room when necessary</w:t>
            </w:r>
          </w:p>
          <w:p w:rsidR="00F149BD" w:rsidRDefault="00A66F07">
            <w:pPr>
              <w:numPr>
                <w:ilvl w:val="0"/>
                <w:numId w:val="3"/>
              </w:numPr>
              <w:spacing w:after="0"/>
              <w:rPr>
                <w:rFonts w:ascii="Times New Roman" w:eastAsia="Times New Roman" w:hAnsi="Times New Roman" w:cs="Times New Roman"/>
                <w:sz w:val="20"/>
                <w:szCs w:val="20"/>
              </w:rPr>
            </w:pPr>
            <w:r>
              <w:rPr>
                <w:rFonts w:eastAsia="Times New Roman"/>
                <w:sz w:val="20"/>
                <w:szCs w:val="20"/>
              </w:rPr>
              <w:t>To help out with Patrol where ne</w:t>
            </w:r>
            <w:r>
              <w:rPr>
                <w:rFonts w:eastAsia="Times New Roman"/>
                <w:sz w:val="20"/>
                <w:szCs w:val="20"/>
              </w:rPr>
              <w:t>cessary</w:t>
            </w:r>
          </w:p>
          <w:p w:rsidR="00F149BD" w:rsidRDefault="00A66F07">
            <w:pPr>
              <w:numPr>
                <w:ilvl w:val="0"/>
                <w:numId w:val="3"/>
              </w:numPr>
              <w:spacing w:after="0"/>
              <w:rPr>
                <w:rFonts w:eastAsia="Times New Roman"/>
                <w:sz w:val="20"/>
                <w:szCs w:val="20"/>
              </w:rPr>
            </w:pPr>
            <w:r>
              <w:rPr>
                <w:rFonts w:eastAsia="Times New Roman"/>
                <w:sz w:val="20"/>
                <w:szCs w:val="20"/>
              </w:rPr>
              <w:t>To ensure that all students’ records are kept up to date and that relevant information is disseminated to appropriate staff.</w:t>
            </w:r>
          </w:p>
          <w:p w:rsidR="00F149BD" w:rsidRDefault="00A66F07">
            <w:pPr>
              <w:numPr>
                <w:ilvl w:val="0"/>
                <w:numId w:val="3"/>
              </w:numPr>
              <w:spacing w:after="0"/>
              <w:rPr>
                <w:rFonts w:eastAsia="Times New Roman"/>
                <w:sz w:val="20"/>
                <w:szCs w:val="20"/>
              </w:rPr>
            </w:pPr>
            <w:r>
              <w:rPr>
                <w:rFonts w:eastAsia="Times New Roman"/>
                <w:sz w:val="20"/>
                <w:szCs w:val="20"/>
              </w:rPr>
              <w:t>To assist with the preparation and dissemination of information at Parents Evenings and other Year related events.</w:t>
            </w:r>
          </w:p>
          <w:p w:rsidR="00F149BD" w:rsidRDefault="00A66F07">
            <w:pPr>
              <w:numPr>
                <w:ilvl w:val="0"/>
                <w:numId w:val="3"/>
              </w:numPr>
              <w:spacing w:after="0"/>
              <w:rPr>
                <w:rFonts w:eastAsia="Times New Roman"/>
                <w:sz w:val="20"/>
                <w:szCs w:val="20"/>
              </w:rPr>
            </w:pPr>
            <w:r>
              <w:rPr>
                <w:rFonts w:eastAsia="Times New Roman"/>
                <w:sz w:val="20"/>
                <w:szCs w:val="20"/>
              </w:rPr>
              <w:t>To ensur</w:t>
            </w:r>
            <w:r>
              <w:rPr>
                <w:rFonts w:eastAsia="Times New Roman"/>
                <w:sz w:val="20"/>
                <w:szCs w:val="20"/>
              </w:rPr>
              <w:t>e appropriate arrangements for students who are unwell during the school year and where appropriate ensure a range of work is sent home.</w:t>
            </w:r>
          </w:p>
          <w:p w:rsidR="00F149BD" w:rsidRDefault="00A66F07">
            <w:pPr>
              <w:numPr>
                <w:ilvl w:val="0"/>
                <w:numId w:val="3"/>
              </w:numPr>
              <w:spacing w:after="0"/>
              <w:rPr>
                <w:rFonts w:eastAsia="Times New Roman"/>
                <w:sz w:val="20"/>
                <w:szCs w:val="20"/>
              </w:rPr>
            </w:pPr>
            <w:r>
              <w:rPr>
                <w:rFonts w:eastAsia="Times New Roman"/>
                <w:sz w:val="20"/>
                <w:szCs w:val="20"/>
              </w:rPr>
              <w:t>To assist and attend school events as appropriate.</w:t>
            </w:r>
          </w:p>
          <w:p w:rsidR="00F149BD" w:rsidRDefault="00A66F07">
            <w:pPr>
              <w:numPr>
                <w:ilvl w:val="0"/>
                <w:numId w:val="3"/>
              </w:numPr>
              <w:spacing w:after="0"/>
              <w:rPr>
                <w:rFonts w:eastAsia="Times New Roman"/>
                <w:sz w:val="20"/>
                <w:szCs w:val="20"/>
              </w:rPr>
            </w:pPr>
            <w:r>
              <w:rPr>
                <w:rFonts w:eastAsia="Times New Roman"/>
                <w:sz w:val="20"/>
                <w:szCs w:val="20"/>
              </w:rPr>
              <w:t>To liaise with outside agencies as appropriate.</w:t>
            </w:r>
          </w:p>
          <w:p w:rsidR="00F149BD" w:rsidRDefault="00A66F07">
            <w:pPr>
              <w:numPr>
                <w:ilvl w:val="0"/>
                <w:numId w:val="3"/>
              </w:numPr>
              <w:spacing w:after="0"/>
              <w:rPr>
                <w:rFonts w:ascii="Times New Roman" w:eastAsia="Times New Roman" w:hAnsi="Times New Roman" w:cs="Times New Roman"/>
                <w:sz w:val="20"/>
                <w:szCs w:val="20"/>
              </w:rPr>
            </w:pPr>
            <w:r>
              <w:rPr>
                <w:rFonts w:eastAsia="Times New Roman"/>
                <w:sz w:val="20"/>
                <w:szCs w:val="20"/>
              </w:rPr>
              <w:t>To carry out student</w:t>
            </w:r>
            <w:r>
              <w:rPr>
                <w:rFonts w:eastAsia="Times New Roman"/>
                <w:sz w:val="20"/>
                <w:szCs w:val="20"/>
              </w:rPr>
              <w:t xml:space="preserve"> supervision duties immediately before school, at break and immediately after school.</w:t>
            </w:r>
          </w:p>
          <w:p w:rsidR="00F149BD" w:rsidRDefault="00A66F07">
            <w:pPr>
              <w:numPr>
                <w:ilvl w:val="0"/>
                <w:numId w:val="3"/>
              </w:numPr>
              <w:spacing w:after="0"/>
              <w:rPr>
                <w:rFonts w:eastAsia="Times New Roman"/>
                <w:sz w:val="20"/>
                <w:szCs w:val="20"/>
              </w:rPr>
            </w:pPr>
            <w:r>
              <w:rPr>
                <w:rFonts w:eastAsia="Times New Roman"/>
                <w:sz w:val="20"/>
                <w:szCs w:val="20"/>
              </w:rPr>
              <w:t>Other duties in support of the school as reasonably decided by the Head Teacher.</w:t>
            </w:r>
          </w:p>
          <w:p w:rsidR="00F149BD" w:rsidRDefault="00A66F07">
            <w:pPr>
              <w:spacing w:after="0"/>
              <w:rPr>
                <w:rFonts w:ascii="Times New Roman" w:eastAsia="Times New Roman" w:hAnsi="Times New Roman" w:cs="Times New Roman"/>
              </w:rPr>
            </w:pPr>
            <w:r>
              <w:rPr>
                <w:rFonts w:ascii="Times New Roman" w:eastAsia="Times New Roman" w:hAnsi="Times New Roman" w:cs="Times New Roman"/>
              </w:rPr>
              <w:t xml:space="preserve">   </w:t>
            </w:r>
          </w:p>
          <w:p w:rsidR="00F149BD" w:rsidRDefault="00F149BD">
            <w:pPr>
              <w:pStyle w:val="ListParagraph"/>
              <w:ind w:left="360"/>
              <w:jc w:val="both"/>
              <w:rPr>
                <w:sz w:val="20"/>
                <w:szCs w:val="20"/>
              </w:rPr>
            </w:pPr>
          </w:p>
        </w:tc>
      </w:tr>
      <w:tr w:rsidR="00F149BD">
        <w:tc>
          <w:tcPr>
            <w:tcW w:w="1809" w:type="dxa"/>
            <w:tcBorders>
              <w:top w:val="nil"/>
              <w:left w:val="nil"/>
              <w:bottom w:val="nil"/>
              <w:right w:val="single" w:sz="48" w:space="0" w:color="B6CBE4"/>
            </w:tcBorders>
            <w:shd w:val="clear" w:color="auto" w:fill="auto"/>
          </w:tcPr>
          <w:p w:rsidR="00F149BD" w:rsidRDefault="00A66F07">
            <w:pPr>
              <w:spacing w:after="0" w:line="240" w:lineRule="auto"/>
              <w:rPr>
                <w:b/>
                <w:color w:val="365F91" w:themeColor="accent1" w:themeShade="BF"/>
                <w:sz w:val="20"/>
                <w:szCs w:val="20"/>
              </w:rPr>
            </w:pPr>
            <w:r>
              <w:rPr>
                <w:b/>
                <w:color w:val="365F91" w:themeColor="accent1" w:themeShade="BF"/>
                <w:sz w:val="20"/>
                <w:szCs w:val="20"/>
              </w:rPr>
              <w:t>Competencies</w:t>
            </w:r>
          </w:p>
          <w:p w:rsidR="00F149BD" w:rsidRDefault="00F149BD">
            <w:pPr>
              <w:spacing w:after="0" w:line="240" w:lineRule="auto"/>
              <w:rPr>
                <w:b/>
                <w:color w:val="365F91" w:themeColor="accent1" w:themeShade="BF"/>
                <w:sz w:val="20"/>
                <w:szCs w:val="20"/>
              </w:rPr>
            </w:pPr>
          </w:p>
        </w:tc>
        <w:tc>
          <w:tcPr>
            <w:tcW w:w="9071" w:type="dxa"/>
            <w:tcBorders>
              <w:top w:val="nil"/>
              <w:left w:val="single" w:sz="48" w:space="0" w:color="B6CBE4"/>
              <w:bottom w:val="nil"/>
              <w:right w:val="nil"/>
            </w:tcBorders>
            <w:shd w:val="clear" w:color="auto" w:fill="auto"/>
          </w:tcPr>
          <w:p w:rsidR="00F149BD" w:rsidRDefault="00A66F07">
            <w:pPr>
              <w:numPr>
                <w:ilvl w:val="0"/>
                <w:numId w:val="1"/>
              </w:numPr>
              <w:spacing w:after="0" w:line="240" w:lineRule="auto"/>
              <w:rPr>
                <w:rFonts w:eastAsia="Times New Roman"/>
                <w:iCs/>
                <w:sz w:val="20"/>
                <w:szCs w:val="20"/>
              </w:rPr>
            </w:pPr>
            <w:r>
              <w:rPr>
                <w:rFonts w:eastAsia="Times New Roman"/>
                <w:iCs/>
                <w:sz w:val="20"/>
                <w:szCs w:val="20"/>
              </w:rPr>
              <w:t>Reliability</w:t>
            </w:r>
          </w:p>
          <w:p w:rsidR="00F149BD" w:rsidRDefault="00A66F07">
            <w:pPr>
              <w:numPr>
                <w:ilvl w:val="0"/>
                <w:numId w:val="1"/>
              </w:numPr>
              <w:spacing w:after="0" w:line="240" w:lineRule="auto"/>
              <w:rPr>
                <w:rFonts w:eastAsia="Times New Roman"/>
                <w:iCs/>
                <w:sz w:val="20"/>
                <w:szCs w:val="20"/>
              </w:rPr>
            </w:pPr>
            <w:r>
              <w:rPr>
                <w:rFonts w:eastAsia="Times New Roman"/>
                <w:iCs/>
                <w:sz w:val="20"/>
                <w:szCs w:val="20"/>
              </w:rPr>
              <w:t xml:space="preserve">Excellent verbal and written communication skills and </w:t>
            </w:r>
            <w:r>
              <w:rPr>
                <w:rFonts w:eastAsia="Times New Roman"/>
                <w:iCs/>
                <w:sz w:val="20"/>
                <w:szCs w:val="20"/>
              </w:rPr>
              <w:t>ability to communicate in a clear and professional manner.</w:t>
            </w:r>
          </w:p>
          <w:p w:rsidR="00F149BD" w:rsidRDefault="00A66F07">
            <w:pPr>
              <w:numPr>
                <w:ilvl w:val="0"/>
                <w:numId w:val="1"/>
              </w:numPr>
              <w:spacing w:after="0" w:line="240" w:lineRule="auto"/>
              <w:rPr>
                <w:rFonts w:eastAsia="Times New Roman"/>
                <w:iCs/>
                <w:sz w:val="20"/>
                <w:szCs w:val="20"/>
              </w:rPr>
            </w:pPr>
            <w:r>
              <w:rPr>
                <w:rFonts w:eastAsia="Times New Roman"/>
                <w:iCs/>
                <w:sz w:val="20"/>
                <w:szCs w:val="20"/>
              </w:rPr>
              <w:t>Ability to relate to staff, students and parents in a professional manner.</w:t>
            </w:r>
          </w:p>
          <w:p w:rsidR="00F149BD" w:rsidRDefault="00A66F07">
            <w:pPr>
              <w:numPr>
                <w:ilvl w:val="0"/>
                <w:numId w:val="1"/>
              </w:numPr>
              <w:spacing w:after="0" w:line="240" w:lineRule="auto"/>
              <w:rPr>
                <w:rFonts w:eastAsia="Times New Roman"/>
                <w:iCs/>
                <w:sz w:val="20"/>
                <w:szCs w:val="20"/>
              </w:rPr>
            </w:pPr>
            <w:r>
              <w:rPr>
                <w:rFonts w:eastAsia="Times New Roman"/>
                <w:iCs/>
                <w:sz w:val="20"/>
                <w:szCs w:val="20"/>
              </w:rPr>
              <w:t>Ability to prioritise own workload</w:t>
            </w:r>
          </w:p>
          <w:p w:rsidR="00F149BD" w:rsidRDefault="00A66F07">
            <w:pPr>
              <w:numPr>
                <w:ilvl w:val="0"/>
                <w:numId w:val="1"/>
              </w:numPr>
              <w:spacing w:after="0" w:line="240" w:lineRule="auto"/>
              <w:rPr>
                <w:rFonts w:eastAsia="Times New Roman"/>
                <w:iCs/>
                <w:sz w:val="20"/>
                <w:szCs w:val="20"/>
              </w:rPr>
            </w:pPr>
            <w:r>
              <w:rPr>
                <w:rFonts w:eastAsia="Times New Roman"/>
                <w:iCs/>
                <w:sz w:val="20"/>
                <w:szCs w:val="20"/>
              </w:rPr>
              <w:t>Professional personal presentation</w:t>
            </w:r>
          </w:p>
          <w:p w:rsidR="00F149BD" w:rsidRDefault="00A66F07">
            <w:pPr>
              <w:numPr>
                <w:ilvl w:val="0"/>
                <w:numId w:val="1"/>
              </w:numPr>
              <w:spacing w:after="0" w:line="240" w:lineRule="auto"/>
              <w:rPr>
                <w:rFonts w:eastAsia="Times New Roman"/>
                <w:iCs/>
                <w:sz w:val="20"/>
                <w:szCs w:val="20"/>
              </w:rPr>
            </w:pPr>
            <w:r>
              <w:rPr>
                <w:rFonts w:eastAsia="Times New Roman"/>
                <w:iCs/>
                <w:sz w:val="20"/>
                <w:szCs w:val="20"/>
              </w:rPr>
              <w:t>Team player</w:t>
            </w:r>
          </w:p>
          <w:p w:rsidR="00F149BD" w:rsidRDefault="00A66F07">
            <w:pPr>
              <w:numPr>
                <w:ilvl w:val="0"/>
                <w:numId w:val="1"/>
              </w:numPr>
              <w:spacing w:after="0" w:line="240" w:lineRule="auto"/>
              <w:rPr>
                <w:rFonts w:eastAsia="Times New Roman"/>
                <w:iCs/>
                <w:sz w:val="20"/>
                <w:szCs w:val="20"/>
              </w:rPr>
            </w:pPr>
            <w:r>
              <w:rPr>
                <w:rFonts w:eastAsia="Times New Roman"/>
                <w:iCs/>
                <w:sz w:val="20"/>
                <w:szCs w:val="20"/>
              </w:rPr>
              <w:t>Good IT Skills</w:t>
            </w:r>
          </w:p>
          <w:p w:rsidR="00F149BD" w:rsidRDefault="00A66F07">
            <w:pPr>
              <w:numPr>
                <w:ilvl w:val="0"/>
                <w:numId w:val="1"/>
              </w:numPr>
              <w:spacing w:after="0" w:line="240" w:lineRule="auto"/>
              <w:rPr>
                <w:rFonts w:eastAsia="Times New Roman"/>
                <w:iCs/>
                <w:sz w:val="20"/>
                <w:szCs w:val="20"/>
              </w:rPr>
            </w:pPr>
            <w:r>
              <w:rPr>
                <w:rFonts w:eastAsia="Times New Roman"/>
                <w:iCs/>
                <w:sz w:val="20"/>
                <w:szCs w:val="20"/>
              </w:rPr>
              <w:t>Attention to detail</w:t>
            </w:r>
          </w:p>
          <w:p w:rsidR="00F149BD" w:rsidRDefault="00A66F07">
            <w:pPr>
              <w:numPr>
                <w:ilvl w:val="0"/>
                <w:numId w:val="1"/>
              </w:numPr>
              <w:spacing w:after="0" w:line="240" w:lineRule="auto"/>
              <w:rPr>
                <w:rFonts w:eastAsia="Times New Roman"/>
                <w:iCs/>
                <w:sz w:val="20"/>
                <w:szCs w:val="20"/>
              </w:rPr>
            </w:pPr>
            <w:r>
              <w:rPr>
                <w:rFonts w:eastAsia="Times New Roman"/>
                <w:iCs/>
                <w:sz w:val="20"/>
                <w:szCs w:val="20"/>
              </w:rPr>
              <w:t>Stron</w:t>
            </w:r>
            <w:r>
              <w:rPr>
                <w:rFonts w:eastAsia="Times New Roman"/>
                <w:iCs/>
                <w:sz w:val="20"/>
                <w:szCs w:val="20"/>
              </w:rPr>
              <w:t>g organisational skills, the ability to balance a variety of tasks simultaneously and work under pressure.</w:t>
            </w:r>
          </w:p>
          <w:p w:rsidR="00F149BD" w:rsidRDefault="00A66F07">
            <w:pPr>
              <w:numPr>
                <w:ilvl w:val="0"/>
                <w:numId w:val="1"/>
              </w:numPr>
              <w:spacing w:after="0" w:line="240" w:lineRule="auto"/>
              <w:rPr>
                <w:rFonts w:eastAsia="Times New Roman"/>
                <w:iCs/>
                <w:sz w:val="20"/>
                <w:szCs w:val="20"/>
              </w:rPr>
            </w:pPr>
            <w:r>
              <w:rPr>
                <w:rFonts w:eastAsia="Times New Roman"/>
                <w:iCs/>
                <w:sz w:val="20"/>
                <w:szCs w:val="20"/>
              </w:rPr>
              <w:t>Ability to perform tasks with minimum supervision and work on own initiative.</w:t>
            </w:r>
          </w:p>
          <w:p w:rsidR="00F149BD" w:rsidRDefault="00A66F07">
            <w:pPr>
              <w:numPr>
                <w:ilvl w:val="0"/>
                <w:numId w:val="1"/>
              </w:numPr>
              <w:spacing w:after="0" w:line="240" w:lineRule="auto"/>
              <w:rPr>
                <w:rFonts w:eastAsia="Times New Roman"/>
                <w:iCs/>
                <w:sz w:val="20"/>
                <w:szCs w:val="20"/>
              </w:rPr>
            </w:pPr>
            <w:r>
              <w:rPr>
                <w:rFonts w:eastAsia="Times New Roman"/>
                <w:iCs/>
                <w:sz w:val="20"/>
                <w:szCs w:val="20"/>
              </w:rPr>
              <w:t>First Aid trained (or willing to become First Aid trained)</w:t>
            </w:r>
          </w:p>
          <w:p w:rsidR="00F149BD" w:rsidRDefault="00F149BD">
            <w:pPr>
              <w:spacing w:after="0" w:line="240" w:lineRule="auto"/>
              <w:rPr>
                <w:rFonts w:eastAsia="Times New Roman"/>
                <w:sz w:val="20"/>
                <w:szCs w:val="20"/>
                <w:lang w:eastAsia="en-GB"/>
              </w:rPr>
            </w:pPr>
          </w:p>
        </w:tc>
      </w:tr>
      <w:tr w:rsidR="00F149BD">
        <w:tc>
          <w:tcPr>
            <w:tcW w:w="1809" w:type="dxa"/>
            <w:tcBorders>
              <w:top w:val="nil"/>
              <w:left w:val="nil"/>
              <w:bottom w:val="nil"/>
              <w:right w:val="single" w:sz="48" w:space="0" w:color="D5E1EF"/>
            </w:tcBorders>
            <w:shd w:val="clear" w:color="auto" w:fill="auto"/>
          </w:tcPr>
          <w:p w:rsidR="00F149BD" w:rsidRDefault="00A66F07">
            <w:pPr>
              <w:spacing w:after="0" w:line="240" w:lineRule="auto"/>
              <w:rPr>
                <w:rFonts w:eastAsia="Times New Roman"/>
                <w:b/>
                <w:color w:val="365F91" w:themeColor="accent1" w:themeShade="BF"/>
                <w:sz w:val="20"/>
                <w:szCs w:val="20"/>
                <w:lang w:eastAsia="en-GB"/>
              </w:rPr>
            </w:pPr>
            <w:r>
              <w:rPr>
                <w:rFonts w:eastAsia="Times New Roman"/>
                <w:b/>
                <w:color w:val="365F91" w:themeColor="accent1" w:themeShade="BF"/>
                <w:sz w:val="20"/>
                <w:szCs w:val="20"/>
                <w:lang w:eastAsia="en-GB"/>
              </w:rPr>
              <w:t>Performanc</w:t>
            </w:r>
            <w:r>
              <w:rPr>
                <w:rFonts w:eastAsia="Times New Roman"/>
                <w:b/>
                <w:color w:val="365F91" w:themeColor="accent1" w:themeShade="BF"/>
                <w:sz w:val="20"/>
                <w:szCs w:val="20"/>
                <w:lang w:eastAsia="en-GB"/>
              </w:rPr>
              <w:t>e Measures</w:t>
            </w:r>
          </w:p>
          <w:p w:rsidR="00F149BD" w:rsidRDefault="00F149BD">
            <w:pPr>
              <w:spacing w:after="0" w:line="240" w:lineRule="auto"/>
              <w:rPr>
                <w:b/>
                <w:color w:val="365F91" w:themeColor="accent1" w:themeShade="BF"/>
                <w:sz w:val="20"/>
                <w:szCs w:val="20"/>
              </w:rPr>
            </w:pPr>
          </w:p>
        </w:tc>
        <w:tc>
          <w:tcPr>
            <w:tcW w:w="9071" w:type="dxa"/>
            <w:tcBorders>
              <w:top w:val="nil"/>
              <w:left w:val="single" w:sz="48" w:space="0" w:color="D5E1EF"/>
              <w:bottom w:val="nil"/>
              <w:right w:val="nil"/>
            </w:tcBorders>
            <w:shd w:val="clear" w:color="auto" w:fill="auto"/>
          </w:tcPr>
          <w:p w:rsidR="00F149BD" w:rsidRDefault="00A66F07">
            <w:pPr>
              <w:pStyle w:val="BodyText2"/>
              <w:rPr>
                <w:sz w:val="20"/>
                <w:szCs w:val="20"/>
              </w:rPr>
            </w:pPr>
            <w:r>
              <w:rPr>
                <w:sz w:val="20"/>
                <w:szCs w:val="20"/>
              </w:rPr>
              <w:t>There will be an annual review of performance which will include an assessment of progress towards achievement of objectives and an overall assessment of performance.</w:t>
            </w:r>
          </w:p>
          <w:p w:rsidR="00F149BD" w:rsidRDefault="00F149BD">
            <w:pPr>
              <w:spacing w:after="0"/>
              <w:jc w:val="both"/>
              <w:rPr>
                <w:rFonts w:eastAsia="Times New Roman"/>
                <w:sz w:val="20"/>
                <w:szCs w:val="20"/>
                <w:lang w:eastAsia="en-GB"/>
              </w:rPr>
            </w:pPr>
          </w:p>
          <w:p w:rsidR="00F149BD" w:rsidRDefault="00F149BD">
            <w:pPr>
              <w:spacing w:after="0"/>
              <w:jc w:val="both"/>
              <w:rPr>
                <w:sz w:val="20"/>
                <w:szCs w:val="20"/>
              </w:rPr>
            </w:pPr>
          </w:p>
        </w:tc>
      </w:tr>
      <w:tr w:rsidR="00F149BD">
        <w:trPr>
          <w:trHeight w:val="1343"/>
        </w:trPr>
        <w:tc>
          <w:tcPr>
            <w:tcW w:w="1809" w:type="dxa"/>
            <w:tcBorders>
              <w:top w:val="nil"/>
              <w:left w:val="nil"/>
              <w:bottom w:val="nil"/>
              <w:right w:val="single" w:sz="48" w:space="0" w:color="ECF1F8"/>
            </w:tcBorders>
            <w:shd w:val="clear" w:color="auto" w:fill="auto"/>
          </w:tcPr>
          <w:p w:rsidR="00F149BD" w:rsidRDefault="00A66F07">
            <w:pPr>
              <w:spacing w:after="0" w:line="240" w:lineRule="auto"/>
              <w:rPr>
                <w:rFonts w:eastAsia="Times New Roman"/>
                <w:b/>
                <w:color w:val="365F91" w:themeColor="accent1" w:themeShade="BF"/>
                <w:sz w:val="20"/>
                <w:szCs w:val="20"/>
                <w:lang w:eastAsia="en-GB"/>
              </w:rPr>
            </w:pPr>
            <w:r>
              <w:rPr>
                <w:rFonts w:eastAsia="Times New Roman"/>
                <w:b/>
                <w:color w:val="365F91" w:themeColor="accent1" w:themeShade="BF"/>
                <w:sz w:val="20"/>
                <w:szCs w:val="20"/>
                <w:lang w:eastAsia="en-GB"/>
              </w:rPr>
              <w:t>Standards and Quality Assurance</w:t>
            </w:r>
          </w:p>
          <w:p w:rsidR="00F149BD" w:rsidRDefault="00F149BD">
            <w:pPr>
              <w:spacing w:after="0" w:line="240" w:lineRule="auto"/>
              <w:rPr>
                <w:b/>
                <w:color w:val="ECF1F8"/>
                <w:sz w:val="20"/>
                <w:szCs w:val="20"/>
              </w:rPr>
            </w:pPr>
          </w:p>
        </w:tc>
        <w:tc>
          <w:tcPr>
            <w:tcW w:w="9071" w:type="dxa"/>
            <w:tcBorders>
              <w:top w:val="nil"/>
              <w:left w:val="single" w:sz="48" w:space="0" w:color="ECF1F8"/>
              <w:bottom w:val="nil"/>
              <w:right w:val="nil"/>
            </w:tcBorders>
            <w:shd w:val="clear" w:color="auto" w:fill="auto"/>
          </w:tcPr>
          <w:p w:rsidR="00F149BD" w:rsidRDefault="00A66F07">
            <w:pPr>
              <w:numPr>
                <w:ilvl w:val="0"/>
                <w:numId w:val="2"/>
              </w:numPr>
              <w:spacing w:after="45" w:line="240" w:lineRule="auto"/>
              <w:rPr>
                <w:rFonts w:eastAsia="Times New Roman"/>
                <w:sz w:val="20"/>
                <w:szCs w:val="20"/>
              </w:rPr>
            </w:pPr>
            <w:r>
              <w:rPr>
                <w:rFonts w:eastAsia="Times New Roman"/>
                <w:sz w:val="20"/>
                <w:szCs w:val="20"/>
              </w:rPr>
              <w:t xml:space="preserve">Support the aims and ethos of the school </w:t>
            </w:r>
          </w:p>
          <w:p w:rsidR="00F149BD" w:rsidRDefault="00A66F07">
            <w:pPr>
              <w:numPr>
                <w:ilvl w:val="0"/>
                <w:numId w:val="2"/>
              </w:numPr>
              <w:spacing w:after="45" w:line="240" w:lineRule="auto"/>
              <w:rPr>
                <w:rFonts w:eastAsia="Times New Roman"/>
                <w:sz w:val="20"/>
                <w:szCs w:val="20"/>
              </w:rPr>
            </w:pPr>
            <w:r>
              <w:rPr>
                <w:rFonts w:eastAsia="Times New Roman"/>
                <w:sz w:val="20"/>
                <w:szCs w:val="20"/>
              </w:rPr>
              <w:t xml:space="preserve">Set a good example in terms of dress, punctuality and attendance </w:t>
            </w:r>
          </w:p>
          <w:p w:rsidR="00F149BD" w:rsidRDefault="00A66F07">
            <w:pPr>
              <w:numPr>
                <w:ilvl w:val="0"/>
                <w:numId w:val="2"/>
              </w:numPr>
              <w:spacing w:after="45" w:line="240" w:lineRule="auto"/>
              <w:rPr>
                <w:rFonts w:eastAsia="Times New Roman"/>
                <w:sz w:val="20"/>
                <w:szCs w:val="20"/>
              </w:rPr>
            </w:pPr>
            <w:r>
              <w:rPr>
                <w:rFonts w:eastAsia="Times New Roman"/>
                <w:sz w:val="20"/>
                <w:szCs w:val="20"/>
              </w:rPr>
              <w:t>Uphold the school's behaviour code and uniform regulations</w:t>
            </w:r>
          </w:p>
          <w:p w:rsidR="00F149BD" w:rsidRDefault="00A66F07">
            <w:pPr>
              <w:numPr>
                <w:ilvl w:val="0"/>
                <w:numId w:val="2"/>
              </w:numPr>
              <w:spacing w:after="45" w:line="240" w:lineRule="auto"/>
              <w:rPr>
                <w:rFonts w:eastAsia="Times New Roman"/>
                <w:sz w:val="20"/>
                <w:szCs w:val="20"/>
              </w:rPr>
            </w:pPr>
            <w:r>
              <w:rPr>
                <w:rFonts w:eastAsia="Times New Roman"/>
                <w:sz w:val="20"/>
                <w:szCs w:val="20"/>
              </w:rPr>
              <w:t xml:space="preserve">Participate in appropriate staff training </w:t>
            </w:r>
          </w:p>
          <w:p w:rsidR="00F149BD" w:rsidRDefault="00A66F07">
            <w:pPr>
              <w:numPr>
                <w:ilvl w:val="0"/>
                <w:numId w:val="2"/>
              </w:numPr>
              <w:spacing w:after="45" w:line="240" w:lineRule="auto"/>
              <w:rPr>
                <w:rFonts w:eastAsia="Times New Roman"/>
                <w:sz w:val="20"/>
                <w:szCs w:val="20"/>
              </w:rPr>
            </w:pPr>
            <w:r>
              <w:rPr>
                <w:rFonts w:eastAsia="Times New Roman"/>
                <w:sz w:val="20"/>
                <w:szCs w:val="20"/>
              </w:rPr>
              <w:t xml:space="preserve">Attend relevant team and staff meetings </w:t>
            </w:r>
          </w:p>
          <w:p w:rsidR="00F149BD" w:rsidRDefault="00F149BD">
            <w:pPr>
              <w:spacing w:after="0" w:line="240" w:lineRule="auto"/>
              <w:jc w:val="both"/>
              <w:rPr>
                <w:rFonts w:eastAsia="Times New Roman"/>
                <w:sz w:val="20"/>
                <w:szCs w:val="20"/>
                <w:lang w:eastAsia="en-GB"/>
              </w:rPr>
            </w:pPr>
          </w:p>
          <w:p w:rsidR="00F149BD" w:rsidRDefault="00F149BD">
            <w:pPr>
              <w:spacing w:after="0" w:line="240" w:lineRule="auto"/>
              <w:jc w:val="both"/>
              <w:rPr>
                <w:rFonts w:eastAsia="Times New Roman"/>
                <w:sz w:val="20"/>
                <w:szCs w:val="20"/>
                <w:lang w:eastAsia="en-GB"/>
              </w:rPr>
            </w:pPr>
          </w:p>
        </w:tc>
      </w:tr>
    </w:tbl>
    <w:p w:rsidR="00F149BD" w:rsidRDefault="00F149BD">
      <w:pPr>
        <w:jc w:val="both"/>
        <w:rPr>
          <w:sz w:val="20"/>
          <w:szCs w:val="20"/>
        </w:rPr>
      </w:pPr>
    </w:p>
    <w:p w:rsidR="00F149BD" w:rsidRDefault="00A66F07">
      <w:pPr>
        <w:spacing w:after="0" w:line="240" w:lineRule="auto"/>
        <w:jc w:val="both"/>
        <w:rPr>
          <w:rFonts w:eastAsia="Times New Roman"/>
          <w:sz w:val="20"/>
          <w:szCs w:val="20"/>
        </w:rPr>
      </w:pPr>
      <w:r>
        <w:rPr>
          <w:rFonts w:eastAsia="Times New Roman"/>
          <w:sz w:val="20"/>
          <w:szCs w:val="20"/>
        </w:rPr>
        <w:lastRenderedPageBreak/>
        <w:t xml:space="preserve">The duties/activities may be varied to meet the changing demands of the school at the reasonable discretion of the Head Teacher and following consultation.  This job description does not form part of the contract of employment. </w:t>
      </w:r>
    </w:p>
    <w:p w:rsidR="00F149BD" w:rsidRDefault="00A66F07">
      <w:pPr>
        <w:spacing w:before="120" w:after="120" w:line="240" w:lineRule="auto"/>
        <w:jc w:val="both"/>
        <w:rPr>
          <w:rFonts w:eastAsia="Times New Roman"/>
          <w:bCs/>
          <w:sz w:val="20"/>
          <w:szCs w:val="20"/>
        </w:rPr>
      </w:pPr>
      <w:r>
        <w:rPr>
          <w:rFonts w:eastAsia="Times New Roman"/>
          <w:bCs/>
          <w:sz w:val="20"/>
          <w:szCs w:val="20"/>
        </w:rPr>
        <w:t>You must also uphold the hi</w:t>
      </w:r>
      <w:r>
        <w:rPr>
          <w:rFonts w:eastAsia="Times New Roman"/>
          <w:bCs/>
          <w:sz w:val="20"/>
          <w:szCs w:val="20"/>
        </w:rPr>
        <w:t>ghest standards in respect of Child Protection.</w:t>
      </w:r>
    </w:p>
    <w:p w:rsidR="00F149BD" w:rsidRDefault="00A66F07">
      <w:pPr>
        <w:jc w:val="both"/>
        <w:rPr>
          <w:sz w:val="16"/>
          <w:szCs w:val="16"/>
        </w:rPr>
      </w:pPr>
      <w:r>
        <w:rPr>
          <w:outline/>
          <w:color w:val="4F81BD" w:themeColor="accent1"/>
          <w:sz w:val="16"/>
          <w:szCs w:val="16"/>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14:textFill>
            <w14:noFill/>
          </w14:textFill>
        </w:rPr>
        <w:t>__________________________________________________________________________________________________________________</w:t>
      </w:r>
    </w:p>
    <w:p w:rsidR="00F149BD" w:rsidRDefault="00A66F07">
      <w:pPr>
        <w:rPr>
          <w:b/>
          <w:color w:val="365F91" w:themeColor="accent1" w:themeShade="BF"/>
          <w:sz w:val="20"/>
          <w:szCs w:val="20"/>
        </w:rPr>
      </w:pPr>
      <w:r>
        <w:rPr>
          <w:b/>
          <w:color w:val="365F91" w:themeColor="accent1" w:themeShade="BF"/>
          <w:sz w:val="20"/>
          <w:szCs w:val="20"/>
        </w:rPr>
        <w:t xml:space="preserve">Name: </w:t>
      </w:r>
    </w:p>
    <w:p w:rsidR="00F149BD" w:rsidRDefault="00A66F07">
      <w:r>
        <w:rPr>
          <w:b/>
          <w:color w:val="365F91" w:themeColor="accent1" w:themeShade="BF"/>
          <w:sz w:val="20"/>
          <w:szCs w:val="20"/>
        </w:rPr>
        <w:t>Pay Scale: Sandwich Technology School Range 6</w:t>
      </w:r>
    </w:p>
    <w:p w:rsidR="00F149BD" w:rsidRDefault="00A66F07">
      <w:r>
        <w:rPr>
          <w:b/>
          <w:color w:val="365F91" w:themeColor="accent1" w:themeShade="BF"/>
          <w:sz w:val="20"/>
          <w:szCs w:val="20"/>
        </w:rPr>
        <w:t>Line Manager:</w:t>
      </w:r>
    </w:p>
    <w:p w:rsidR="00F149BD" w:rsidRDefault="00A66F07">
      <w:pPr>
        <w:rPr>
          <w:b/>
          <w:color w:val="365F91" w:themeColor="accent1" w:themeShade="BF"/>
          <w:sz w:val="20"/>
          <w:szCs w:val="20"/>
        </w:rPr>
      </w:pPr>
      <w:r>
        <w:rPr>
          <w:b/>
          <w:color w:val="365F91" w:themeColor="accent1" w:themeShade="BF"/>
          <w:sz w:val="20"/>
          <w:szCs w:val="20"/>
        </w:rPr>
        <w:t>Performance Manager: Year Manager</w:t>
      </w:r>
    </w:p>
    <w:p w:rsidR="00F149BD" w:rsidRDefault="00A66F07">
      <w:pPr>
        <w:rPr>
          <w:rFonts w:eastAsia="Times New Roman"/>
          <w:b/>
          <w:color w:val="365F91" w:themeColor="accent1" w:themeShade="BF"/>
          <w:sz w:val="20"/>
          <w:szCs w:val="20"/>
          <w:lang w:eastAsia="en-GB"/>
        </w:rPr>
      </w:pPr>
      <w:r>
        <w:rPr>
          <w:rFonts w:eastAsia="Times New Roman"/>
          <w:b/>
          <w:color w:val="365F91" w:themeColor="accent1" w:themeShade="BF"/>
          <w:sz w:val="20"/>
          <w:szCs w:val="20"/>
          <w:lang w:eastAsia="en-GB"/>
        </w:rPr>
        <w:t>Signed:</w:t>
      </w:r>
    </w:p>
    <w:p w:rsidR="00F149BD" w:rsidRDefault="00A66F07">
      <w:r>
        <w:rPr>
          <w:rFonts w:eastAsia="Times New Roman"/>
          <w:b/>
          <w:color w:val="365F91" w:themeColor="accent1" w:themeShade="BF"/>
          <w:sz w:val="20"/>
          <w:szCs w:val="20"/>
          <w:lang w:eastAsia="en-GB"/>
        </w:rPr>
        <w:t>Date:</w:t>
      </w:r>
    </w:p>
    <w:sectPr w:rsidR="00F149BD">
      <w:pgSz w:w="11906" w:h="16838"/>
      <w:pgMar w:top="567" w:right="567" w:bottom="284" w:left="567"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955EC"/>
    <w:multiLevelType w:val="multilevel"/>
    <w:tmpl w:val="27F0AF16"/>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D7F7105"/>
    <w:multiLevelType w:val="multilevel"/>
    <w:tmpl w:val="42DE9E2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3DC1568F"/>
    <w:multiLevelType w:val="multilevel"/>
    <w:tmpl w:val="D5F0FC7E"/>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79F92A3A"/>
    <w:multiLevelType w:val="multilevel"/>
    <w:tmpl w:val="6E5C318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49BD"/>
    <w:rsid w:val="00A66F07"/>
    <w:rsid w:val="00F149BD"/>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A53418-FC34-4079-B265-B55F8244F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style>
  <w:style w:type="paragraph" w:styleId="Heading1">
    <w:name w:val="heading 1"/>
    <w:basedOn w:val="Normal"/>
    <w:next w:val="Normal"/>
    <w:link w:val="Heading1Char"/>
    <w:qFormat/>
    <w:rsid w:val="00836552"/>
    <w:pPr>
      <w:keepNext/>
      <w:spacing w:after="0" w:line="240" w:lineRule="auto"/>
      <w:outlineLvl w:val="0"/>
    </w:pPr>
    <w:rPr>
      <w:rFonts w:ascii="Tahoma" w:eastAsia="Times New Roman" w:hAnsi="Tahoma" w:cs="Tahoma"/>
      <w:b/>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EB7FE7"/>
    <w:rPr>
      <w:rFonts w:ascii="Tahoma" w:hAnsi="Tahoma" w:cs="Tahoma"/>
      <w:sz w:val="16"/>
      <w:szCs w:val="16"/>
    </w:rPr>
  </w:style>
  <w:style w:type="character" w:styleId="PlaceholderText">
    <w:name w:val="Placeholder Text"/>
    <w:basedOn w:val="DefaultParagraphFont"/>
    <w:uiPriority w:val="99"/>
    <w:semiHidden/>
    <w:qFormat/>
    <w:rsid w:val="009F18B7"/>
    <w:rPr>
      <w:color w:val="808080"/>
    </w:rPr>
  </w:style>
  <w:style w:type="character" w:customStyle="1" w:styleId="Heading1Char">
    <w:name w:val="Heading 1 Char"/>
    <w:basedOn w:val="DefaultParagraphFont"/>
    <w:link w:val="Heading1"/>
    <w:qFormat/>
    <w:rsid w:val="00836552"/>
    <w:rPr>
      <w:rFonts w:ascii="Tahoma" w:eastAsia="Times New Roman" w:hAnsi="Tahoma" w:cs="Tahoma"/>
      <w:b/>
      <w:lang w:eastAsia="en-GB"/>
    </w:rPr>
  </w:style>
  <w:style w:type="character" w:customStyle="1" w:styleId="HeaderChar">
    <w:name w:val="Header Char"/>
    <w:basedOn w:val="DefaultParagraphFont"/>
    <w:link w:val="Header"/>
    <w:uiPriority w:val="99"/>
    <w:qFormat/>
    <w:rsid w:val="00226AED"/>
  </w:style>
  <w:style w:type="character" w:customStyle="1" w:styleId="FooterChar">
    <w:name w:val="Footer Char"/>
    <w:basedOn w:val="DefaultParagraphFont"/>
    <w:link w:val="Footer"/>
    <w:uiPriority w:val="99"/>
    <w:qFormat/>
    <w:rsid w:val="00226AED"/>
  </w:style>
  <w:style w:type="character" w:customStyle="1" w:styleId="BodyText2Char">
    <w:name w:val="Body Text 2 Char"/>
    <w:basedOn w:val="DefaultParagraphFont"/>
    <w:link w:val="BodyText2"/>
    <w:qFormat/>
    <w:rsid w:val="00082208"/>
    <w:rPr>
      <w:rFonts w:eastAsia="Times New Roman"/>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cs="Courier New"/>
    </w:rPr>
  </w:style>
  <w:style w:type="character" w:customStyle="1" w:styleId="ListLabel86">
    <w:name w:val="ListLabel 86"/>
    <w:qFormat/>
    <w:rPr>
      <w:rFonts w:cs="Courier New"/>
    </w:rPr>
  </w:style>
  <w:style w:type="character" w:customStyle="1" w:styleId="ListLabel87">
    <w:name w:val="ListLabel 87"/>
    <w:qFormat/>
    <w:rPr>
      <w:rFonts w:cs="Courier New"/>
    </w:rPr>
  </w:style>
  <w:style w:type="character" w:customStyle="1" w:styleId="ListLabel88">
    <w:name w:val="ListLabel 88"/>
    <w:qFormat/>
    <w:rPr>
      <w:rFonts w:cs="Courier New"/>
    </w:rPr>
  </w:style>
  <w:style w:type="character" w:customStyle="1" w:styleId="ListLabel89">
    <w:name w:val="ListLabel 89"/>
    <w:qFormat/>
    <w:rPr>
      <w:rFonts w:cs="Courier New"/>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qFormat/>
    <w:pPr>
      <w:suppressLineNumbers/>
    </w:pPr>
    <w:rPr>
      <w:rFonts w:cs="Lucida Sans"/>
    </w:rPr>
  </w:style>
  <w:style w:type="paragraph" w:styleId="BalloonText">
    <w:name w:val="Balloon Text"/>
    <w:basedOn w:val="Normal"/>
    <w:link w:val="BalloonTextChar"/>
    <w:uiPriority w:val="99"/>
    <w:semiHidden/>
    <w:unhideWhenUsed/>
    <w:qFormat/>
    <w:rsid w:val="00EB7FE7"/>
    <w:pPr>
      <w:spacing w:after="0" w:line="240" w:lineRule="auto"/>
    </w:pPr>
    <w:rPr>
      <w:rFonts w:ascii="Tahoma" w:hAnsi="Tahoma" w:cs="Tahoma"/>
      <w:sz w:val="16"/>
      <w:szCs w:val="16"/>
    </w:rPr>
  </w:style>
  <w:style w:type="paragraph" w:styleId="ListParagraph">
    <w:name w:val="List Paragraph"/>
    <w:basedOn w:val="Normal"/>
    <w:uiPriority w:val="34"/>
    <w:qFormat/>
    <w:rsid w:val="00EB7FE7"/>
    <w:pPr>
      <w:ind w:left="720"/>
      <w:contextualSpacing/>
    </w:pPr>
  </w:style>
  <w:style w:type="paragraph" w:styleId="Header">
    <w:name w:val="header"/>
    <w:basedOn w:val="Normal"/>
    <w:link w:val="HeaderChar"/>
    <w:uiPriority w:val="99"/>
    <w:unhideWhenUsed/>
    <w:rsid w:val="00226AED"/>
    <w:pPr>
      <w:tabs>
        <w:tab w:val="center" w:pos="4513"/>
        <w:tab w:val="right" w:pos="9026"/>
      </w:tabs>
      <w:spacing w:after="0" w:line="240" w:lineRule="auto"/>
    </w:pPr>
  </w:style>
  <w:style w:type="paragraph" w:styleId="Footer">
    <w:name w:val="footer"/>
    <w:basedOn w:val="Normal"/>
    <w:link w:val="FooterChar"/>
    <w:uiPriority w:val="99"/>
    <w:unhideWhenUsed/>
    <w:rsid w:val="00226AED"/>
    <w:pPr>
      <w:tabs>
        <w:tab w:val="center" w:pos="4513"/>
        <w:tab w:val="right" w:pos="9026"/>
      </w:tabs>
      <w:spacing w:after="0" w:line="240" w:lineRule="auto"/>
    </w:pPr>
  </w:style>
  <w:style w:type="paragraph" w:styleId="BodyText2">
    <w:name w:val="Body Text 2"/>
    <w:basedOn w:val="Normal"/>
    <w:link w:val="BodyText2Char"/>
    <w:qFormat/>
    <w:rsid w:val="00082208"/>
    <w:pPr>
      <w:spacing w:after="0" w:line="240" w:lineRule="auto"/>
      <w:jc w:val="both"/>
    </w:pPr>
    <w:rPr>
      <w:rFonts w:eastAsia="Times New Roman"/>
    </w:rPr>
  </w:style>
  <w:style w:type="paragraph" w:customStyle="1" w:styleId="FrameContents">
    <w:name w:val="Frame Contents"/>
    <w:basedOn w:val="Normal"/>
    <w:qFormat/>
  </w:style>
  <w:style w:type="table" w:styleId="TableGrid">
    <w:name w:val="Table Grid"/>
    <w:basedOn w:val="TableNormal"/>
    <w:uiPriority w:val="59"/>
    <w:rsid w:val="00EB7F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0.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5449A1-A65D-4A38-B799-6F58680A4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450</Words>
  <Characters>2567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Sandwich Technology School</Company>
  <LinksUpToDate>false</LinksUpToDate>
  <CharactersWithSpaces>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Gomez</dc:creator>
  <dc:description/>
  <cp:lastModifiedBy>Janette Foster</cp:lastModifiedBy>
  <cp:revision>2</cp:revision>
  <cp:lastPrinted>2011-05-26T12:44:00Z</cp:lastPrinted>
  <dcterms:created xsi:type="dcterms:W3CDTF">2023-01-17T12:54:00Z</dcterms:created>
  <dcterms:modified xsi:type="dcterms:W3CDTF">2023-01-17T12:54:00Z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Sandwich Technology School</vt:lpwstr>
  </property>
  <property fmtid="{D5CDD505-2E9C-101B-9397-08002B2CF9AE}" pid="4" name="DocSecurity">
    <vt:i4>4</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