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1D" w:rsidRPr="001F58CC" w:rsidRDefault="001F58CC" w:rsidP="001F58CC">
      <w:pPr>
        <w:pStyle w:val="LO-normal"/>
      </w:pPr>
      <w:bookmarkStart w:id="0" w:name="_GoBack"/>
      <w:bookmarkEnd w:id="0"/>
      <w:r w:rsidRPr="001F58CC">
        <w:rPr>
          <w:b/>
        </w:rPr>
        <w:t>SEN Teaching Assistant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>Duties and responsi</w:t>
      </w:r>
      <w:r>
        <w:t xml:space="preserve">bilities 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 xml:space="preserve">To work under the supervision and guidance of the </w:t>
      </w:r>
      <w:proofErr w:type="spellStart"/>
      <w:r>
        <w:t>SENCo</w:t>
      </w:r>
      <w:proofErr w:type="spellEnd"/>
      <w:r>
        <w:t xml:space="preserve"> and class teachers to assist in the development of identified children. 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>Key accountabilities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 xml:space="preserve">Supporting children and Teacher </w:t>
      </w:r>
    </w:p>
    <w:p w:rsidR="00064C1D" w:rsidRDefault="001F58CC">
      <w:pPr>
        <w:pStyle w:val="LO-normal"/>
        <w:numPr>
          <w:ilvl w:val="0"/>
          <w:numId w:val="1"/>
        </w:numPr>
      </w:pPr>
      <w:r>
        <w:t>Deliver structured interventions for identified children (an</w:t>
      </w:r>
      <w:r>
        <w:t>d groups of children);</w:t>
      </w:r>
    </w:p>
    <w:p w:rsidR="00064C1D" w:rsidRDefault="001F58CC">
      <w:pPr>
        <w:pStyle w:val="LO-normal"/>
        <w:numPr>
          <w:ilvl w:val="0"/>
          <w:numId w:val="1"/>
        </w:numPr>
      </w:pPr>
      <w:r>
        <w:t xml:space="preserve">Work with the </w:t>
      </w:r>
      <w:proofErr w:type="spellStart"/>
      <w:r>
        <w:t>SENCo</w:t>
      </w:r>
      <w:proofErr w:type="spellEnd"/>
      <w:r>
        <w:t xml:space="preserve"> and class teacher to develop appropriate classroom support and resources for the identified children;</w:t>
      </w:r>
    </w:p>
    <w:p w:rsidR="00064C1D" w:rsidRDefault="001F58CC">
      <w:pPr>
        <w:pStyle w:val="LO-normal"/>
        <w:numPr>
          <w:ilvl w:val="0"/>
          <w:numId w:val="1"/>
        </w:numPr>
      </w:pPr>
      <w:r>
        <w:t>Provide regular progress feedback to the class teachers;</w:t>
      </w:r>
    </w:p>
    <w:p w:rsidR="00064C1D" w:rsidRDefault="001F58CC">
      <w:pPr>
        <w:pStyle w:val="LO-normal"/>
        <w:numPr>
          <w:ilvl w:val="0"/>
          <w:numId w:val="1"/>
        </w:numPr>
      </w:pPr>
      <w:r>
        <w:t>Work with other professionals, including outside agenc</w:t>
      </w:r>
      <w:r>
        <w:t xml:space="preserve">ies and specialist teachers, and follow their individual </w:t>
      </w:r>
      <w:proofErr w:type="spellStart"/>
      <w:r>
        <w:t>programmes</w:t>
      </w:r>
      <w:proofErr w:type="spellEnd"/>
      <w:r>
        <w:t>, as necessary.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>Supporting the School</w:t>
      </w:r>
    </w:p>
    <w:p w:rsidR="00064C1D" w:rsidRDefault="001F58CC">
      <w:pPr>
        <w:pStyle w:val="LO-normal"/>
        <w:numPr>
          <w:ilvl w:val="0"/>
          <w:numId w:val="6"/>
        </w:numPr>
      </w:pPr>
      <w:r>
        <w:t xml:space="preserve">Support the aims, values and ethos of the school and be aware of school procedures and policies. </w:t>
      </w:r>
    </w:p>
    <w:p w:rsidR="00064C1D" w:rsidRDefault="001F58CC">
      <w:pPr>
        <w:pStyle w:val="LO-normal"/>
        <w:numPr>
          <w:ilvl w:val="0"/>
          <w:numId w:val="6"/>
        </w:numPr>
      </w:pPr>
      <w:r>
        <w:t xml:space="preserve">Attend relevant in-service training and participate </w:t>
      </w:r>
      <w:r>
        <w:t>in professional development opportunities.</w:t>
      </w:r>
    </w:p>
    <w:p w:rsidR="00064C1D" w:rsidRDefault="001F58CC">
      <w:pPr>
        <w:pStyle w:val="LO-normal"/>
        <w:numPr>
          <w:ilvl w:val="0"/>
          <w:numId w:val="6"/>
        </w:numPr>
      </w:pPr>
      <w:r>
        <w:t xml:space="preserve">Liaise, </w:t>
      </w:r>
      <w:proofErr w:type="gramStart"/>
      <w:r>
        <w:t>advise</w:t>
      </w:r>
      <w:proofErr w:type="gramEnd"/>
      <w:r>
        <w:t>, and consult with other members of the team.</w:t>
      </w:r>
    </w:p>
    <w:p w:rsidR="00064C1D" w:rsidRDefault="001F58CC">
      <w:pPr>
        <w:pStyle w:val="LO-normal"/>
        <w:numPr>
          <w:ilvl w:val="0"/>
          <w:numId w:val="6"/>
        </w:numPr>
      </w:pPr>
      <w:r>
        <w:t xml:space="preserve">As directed by the </w:t>
      </w:r>
      <w:proofErr w:type="spellStart"/>
      <w:r>
        <w:t>Headteacher</w:t>
      </w:r>
      <w:proofErr w:type="spellEnd"/>
      <w:r>
        <w:t xml:space="preserve">, </w:t>
      </w:r>
      <w:proofErr w:type="spellStart"/>
      <w:r>
        <w:t>SENCo</w:t>
      </w:r>
      <w:proofErr w:type="spellEnd"/>
      <w:r>
        <w:t xml:space="preserve"> and/or class teacher, participate and supervise the child in off-site activities, playtime, and lunchtime to ensure</w:t>
      </w:r>
      <w:r>
        <w:t xml:space="preserve"> the continued safety of the child.</w:t>
      </w:r>
    </w:p>
    <w:p w:rsidR="00064C1D" w:rsidRDefault="001F58CC">
      <w:pPr>
        <w:pStyle w:val="LO-normal"/>
        <w:numPr>
          <w:ilvl w:val="0"/>
          <w:numId w:val="6"/>
        </w:numPr>
      </w:pPr>
      <w:r>
        <w:t xml:space="preserve">Such other duties as the </w:t>
      </w:r>
      <w:proofErr w:type="spellStart"/>
      <w:r>
        <w:t>Headteacher</w:t>
      </w:r>
      <w:proofErr w:type="spellEnd"/>
      <w:r>
        <w:t xml:space="preserve"> may from time to time require.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 xml:space="preserve">This job description describes in general terms the normal duties which the </w:t>
      </w:r>
      <w:proofErr w:type="spellStart"/>
      <w:r>
        <w:t>postholder</w:t>
      </w:r>
      <w:proofErr w:type="spellEnd"/>
      <w:r>
        <w:t xml:space="preserve"> </w:t>
      </w:r>
      <w:proofErr w:type="gramStart"/>
      <w:r>
        <w:t>will be expected</w:t>
      </w:r>
      <w:proofErr w:type="gramEnd"/>
      <w:r>
        <w:t xml:space="preserve"> to undertake. However, the job description or </w:t>
      </w:r>
      <w:r>
        <w:t>the duties contained therein may vary or be amended from time to time without changing the level of responsibility associated with this post.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 xml:space="preserve">Signed:                              </w:t>
      </w:r>
      <w:proofErr w:type="spellStart"/>
      <w:r>
        <w:t>Postholder</w:t>
      </w:r>
      <w:proofErr w:type="spellEnd"/>
    </w:p>
    <w:p w:rsidR="00064C1D" w:rsidRDefault="00064C1D">
      <w:pPr>
        <w:pStyle w:val="LO-normal"/>
      </w:pPr>
    </w:p>
    <w:p w:rsidR="00064C1D" w:rsidRDefault="001F58CC">
      <w:pPr>
        <w:pStyle w:val="LO-normal"/>
        <w:rPr>
          <w:sz w:val="24"/>
          <w:szCs w:val="24"/>
        </w:rPr>
      </w:pPr>
      <w:r>
        <w:t xml:space="preserve">Signed:                              </w:t>
      </w:r>
      <w:proofErr w:type="spellStart"/>
      <w:r>
        <w:t>Headteacher</w:t>
      </w:r>
      <w:proofErr w:type="spellEnd"/>
    </w:p>
    <w:p w:rsidR="00064C1D" w:rsidRDefault="00064C1D">
      <w:pPr>
        <w:pStyle w:val="LO-normal"/>
        <w:rPr>
          <w:sz w:val="26"/>
          <w:szCs w:val="26"/>
        </w:rPr>
      </w:pPr>
    </w:p>
    <w:p w:rsidR="00064C1D" w:rsidRDefault="001F58CC">
      <w:pPr>
        <w:pStyle w:val="LO-normal"/>
        <w:spacing w:before="200" w:line="240" w:lineRule="auto"/>
        <w:jc w:val="both"/>
        <w:rPr>
          <w:sz w:val="24"/>
          <w:szCs w:val="24"/>
        </w:rPr>
      </w:pPr>
      <w:r>
        <w:br w:type="page"/>
      </w:r>
    </w:p>
    <w:p w:rsidR="00064C1D" w:rsidRDefault="001F58CC">
      <w:pPr>
        <w:pStyle w:val="LO-normal"/>
        <w:rPr>
          <w:b/>
        </w:rPr>
      </w:pPr>
      <w:r>
        <w:rPr>
          <w:b/>
        </w:rPr>
        <w:lastRenderedPageBreak/>
        <w:t xml:space="preserve">Person </w:t>
      </w:r>
      <w:r>
        <w:rPr>
          <w:b/>
        </w:rPr>
        <w:t>Specification Job – SEN Teaching Assistant</w:t>
      </w:r>
    </w:p>
    <w:p w:rsidR="00064C1D" w:rsidRDefault="00064C1D">
      <w:pPr>
        <w:pStyle w:val="LO-normal"/>
      </w:pPr>
    </w:p>
    <w:p w:rsidR="00064C1D" w:rsidRDefault="001F58CC">
      <w:pPr>
        <w:pStyle w:val="LO-normal"/>
      </w:pPr>
      <w:r>
        <w:t>Attributes and Person Specification:</w:t>
      </w:r>
    </w:p>
    <w:p w:rsidR="00064C1D" w:rsidRDefault="001F58CC">
      <w:pPr>
        <w:pStyle w:val="LO-normal"/>
      </w:pPr>
      <w:r>
        <w:t xml:space="preserve">Essential requirements are those, without which, the candidate would not be able to do the job. It </w:t>
      </w:r>
      <w:proofErr w:type="gramStart"/>
      <w:r>
        <w:t>is expected</w:t>
      </w:r>
      <w:proofErr w:type="gramEnd"/>
      <w:r>
        <w:t xml:space="preserve"> that the post holder will have the knowledge and qualifications </w:t>
      </w:r>
      <w:r>
        <w:t>indicated or equivalent qualifications and experience.</w:t>
      </w:r>
    </w:p>
    <w:p w:rsidR="00064C1D" w:rsidRDefault="00064C1D">
      <w:pPr>
        <w:pStyle w:val="LO-normal"/>
      </w:pPr>
    </w:p>
    <w:p w:rsidR="00064C1D" w:rsidRDefault="001F58CC">
      <w:pPr>
        <w:pStyle w:val="LO-normal"/>
        <w:rPr>
          <w:sz w:val="24"/>
          <w:szCs w:val="24"/>
        </w:rPr>
      </w:pPr>
      <w:r>
        <w:t>Desirable requirements are those which would be useful for the post holder to possess and will be considered when more than one applicant meets the essential requirements.</w:t>
      </w:r>
    </w:p>
    <w:p w:rsidR="00064C1D" w:rsidRDefault="00064C1D">
      <w:pPr>
        <w:pStyle w:val="LO-normal"/>
        <w:spacing w:before="20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00"/>
        <w:gridCol w:w="3351"/>
        <w:gridCol w:w="2711"/>
        <w:gridCol w:w="1463"/>
      </w:tblGrid>
      <w:tr w:rsidR="00064C1D">
        <w:trPr>
          <w:trHeight w:val="1010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064C1D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Essential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Desirable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064C1D">
            <w:pPr>
              <w:pStyle w:val="LO-normal"/>
              <w:widowControl w:val="0"/>
              <w:spacing w:line="240" w:lineRule="auto"/>
            </w:pPr>
          </w:p>
        </w:tc>
      </w:tr>
      <w:tr w:rsidR="00064C1D">
        <w:trPr>
          <w:trHeight w:val="4745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Knowledge and Qualifications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Qualifications at GCSE (A-C) or equivalent level in </w:t>
            </w:r>
            <w:proofErr w:type="spellStart"/>
            <w:r>
              <w:t>Maths</w:t>
            </w:r>
            <w:proofErr w:type="spellEnd"/>
            <w:r>
              <w:t xml:space="preserve"> and English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Willingness to participate in relevant training.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Qualified as a </w:t>
            </w:r>
            <w:proofErr w:type="spellStart"/>
            <w:r>
              <w:t>Paediatric</w:t>
            </w:r>
            <w:proofErr w:type="spellEnd"/>
            <w:r>
              <w:t xml:space="preserve"> First Aider at Work, or willingness to train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Knowledge of strategies, including </w:t>
            </w:r>
            <w:proofErr w:type="spellStart"/>
            <w:r>
              <w:t>be</w:t>
            </w:r>
            <w:r>
              <w:t>haviour</w:t>
            </w:r>
            <w:proofErr w:type="spellEnd"/>
            <w:r>
              <w:t xml:space="preserve"> management strategies, to enable children to make good progress, particularly those in vulnerable groups.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Knowledge of safeguarding &amp; Health and Safety requirements within a similar setting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Knowledge of National Curriculum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Working knowledge of SEN </w:t>
            </w:r>
            <w:r>
              <w:t>policies/codes of practice/legislation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Application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Interview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References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</w:tc>
      </w:tr>
      <w:tr w:rsidR="00064C1D">
        <w:trPr>
          <w:trHeight w:val="4535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lastRenderedPageBreak/>
              <w:t>Skills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Evidence of strong communication skills with children that demonstrate an understanding and supports their development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Ability to build strong working relationships for the </w:t>
            </w:r>
            <w:r>
              <w:t xml:space="preserve">benefit of pupils, communicating clearly and effectively with a wide range of individuals including pupils, colleagues, parents, </w:t>
            </w:r>
            <w:proofErr w:type="spellStart"/>
            <w:r>
              <w:t>carers</w:t>
            </w:r>
            <w:proofErr w:type="spellEnd"/>
            <w:r>
              <w:t xml:space="preserve"> and the local community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Computer literate to support the administration and children’s activities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Application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Interview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References</w:t>
            </w:r>
          </w:p>
        </w:tc>
      </w:tr>
      <w:tr w:rsidR="00064C1D">
        <w:trPr>
          <w:trHeight w:val="2990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Experience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Working with children from 4 to 11 years old, ideally in a similar setting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Recent and relevant experience of working with children with SEN.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Experience of working with children with ASC (Autism Spectrum Condition).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Application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Interview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References</w:t>
            </w:r>
          </w:p>
        </w:tc>
      </w:tr>
      <w:tr w:rsidR="00064C1D">
        <w:trPr>
          <w:trHeight w:val="5180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Personal attributes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Patient and caring, committed to the needs of the children.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Good communicator, understanding the need for confidentiality at all times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A strong team player with a flexible approach, and willingness to learn, </w:t>
            </w:r>
            <w:r>
              <w:t>committed to supporting the needs and demands of this role</w:t>
            </w:r>
          </w:p>
          <w:p w:rsidR="00064C1D" w:rsidRDefault="001F58C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Someone who has a positive, solution focused approach to challenges.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064C1D">
            <w:pPr>
              <w:pStyle w:val="LO-normal"/>
              <w:widowControl w:val="0"/>
              <w:spacing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Interview</w:t>
            </w:r>
          </w:p>
          <w:p w:rsidR="00064C1D" w:rsidRDefault="00064C1D">
            <w:pPr>
              <w:pStyle w:val="LO-normal"/>
              <w:widowControl w:val="0"/>
              <w:spacing w:line="240" w:lineRule="auto"/>
            </w:pPr>
          </w:p>
          <w:p w:rsidR="00064C1D" w:rsidRDefault="001F58CC">
            <w:pPr>
              <w:pStyle w:val="LO-normal"/>
              <w:widowControl w:val="0"/>
              <w:spacing w:line="240" w:lineRule="auto"/>
            </w:pPr>
            <w:r>
              <w:t>References</w:t>
            </w:r>
          </w:p>
        </w:tc>
      </w:tr>
    </w:tbl>
    <w:p w:rsidR="00064C1D" w:rsidRDefault="00064C1D">
      <w:pPr>
        <w:pStyle w:val="LO-normal"/>
      </w:pPr>
    </w:p>
    <w:sectPr w:rsidR="00064C1D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3146"/>
    <w:multiLevelType w:val="multilevel"/>
    <w:tmpl w:val="1A9AD54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57B4F5B"/>
    <w:multiLevelType w:val="multilevel"/>
    <w:tmpl w:val="124E92F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3A81F9A"/>
    <w:multiLevelType w:val="multilevel"/>
    <w:tmpl w:val="F85ECD3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52D5617"/>
    <w:multiLevelType w:val="multilevel"/>
    <w:tmpl w:val="F638538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4FD00EB"/>
    <w:multiLevelType w:val="multilevel"/>
    <w:tmpl w:val="D7A0B03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5A7D3D6F"/>
    <w:multiLevelType w:val="multilevel"/>
    <w:tmpl w:val="F6F80FF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3ED5507"/>
    <w:multiLevelType w:val="multilevel"/>
    <w:tmpl w:val="8A50884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7393238F"/>
    <w:multiLevelType w:val="multilevel"/>
    <w:tmpl w:val="B9BE1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4C3312"/>
    <w:multiLevelType w:val="multilevel"/>
    <w:tmpl w:val="F84AB48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7FE84574"/>
    <w:multiLevelType w:val="multilevel"/>
    <w:tmpl w:val="83D0295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D"/>
    <w:rsid w:val="00064C1D"/>
    <w:rsid w:val="001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802F"/>
  <w15:docId w15:val="{68F356E3-E2BB-438B-990A-6DE5893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Eanswythes CE Primary School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CJACOBS</dc:creator>
  <dc:description/>
  <cp:lastModifiedBy>CJACOBS</cp:lastModifiedBy>
  <cp:revision>2</cp:revision>
  <dcterms:created xsi:type="dcterms:W3CDTF">2023-06-09T12:40:00Z</dcterms:created>
  <dcterms:modified xsi:type="dcterms:W3CDTF">2023-06-09T12:40:00Z</dcterms:modified>
  <dc:language>en-US</dc:language>
</cp:coreProperties>
</file>