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Arial Rounded" w:cs="Arial Rounded" w:eastAsia="Arial Rounded" w:hAnsi="Arial Rounded"/>
          <w:b w:val="1"/>
        </w:rPr>
      </w:pPr>
      <w:r w:rsidDel="00000000" w:rsidR="00000000" w:rsidRPr="00000000">
        <w:rPr>
          <w:rFonts w:ascii="Arial Rounded" w:cs="Arial Rounded" w:eastAsia="Arial Rounded" w:hAnsi="Arial Rounded"/>
          <w:b w:val="1"/>
          <w:rtl w:val="0"/>
        </w:rPr>
        <w:t xml:space="preserve">Stone Bay School</w:t>
      </w:r>
    </w:p>
    <w:p w:rsidR="00000000" w:rsidDel="00000000" w:rsidP="00000000" w:rsidRDefault="00000000" w:rsidRPr="00000000" w14:paraId="00000002">
      <w:pPr>
        <w:jc w:val="center"/>
        <w:rPr/>
      </w:pPr>
      <w:r w:rsidDel="00000000" w:rsidR="00000000" w:rsidRPr="00000000">
        <w:rPr/>
        <w:drawing>
          <wp:inline distB="0" distT="0" distL="0" distR="0">
            <wp:extent cx="1589648" cy="1430114"/>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9648" cy="14301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254000</wp:posOffset>
                </wp:positionV>
                <wp:extent cx="5965825" cy="974725"/>
                <wp:effectExtent b="0" l="0" r="0" t="0"/>
                <wp:wrapNone/>
                <wp:docPr id="11" name=""/>
                <a:graphic>
                  <a:graphicData uri="http://schemas.microsoft.com/office/word/2010/wordprocessingShape">
                    <wps:wsp>
                      <wps:cNvSpPr/>
                      <wps:cNvPr id="3" name="Shape 3"/>
                      <wps:spPr>
                        <a:xfrm>
                          <a:off x="2388488" y="3318038"/>
                          <a:ext cx="5915025" cy="923925"/>
                        </a:xfrm>
                        <a:prstGeom prst="rect">
                          <a:avLst/>
                        </a:prstGeom>
                        <a:solidFill>
                          <a:srgbClr val="DAE5F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254000</wp:posOffset>
                </wp:positionV>
                <wp:extent cx="5965825" cy="974725"/>
                <wp:effectExtent b="0" l="0" r="0" t="0"/>
                <wp:wrapNone/>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65825" cy="97472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228600</wp:posOffset>
                </wp:positionV>
                <wp:extent cx="5400675" cy="942975"/>
                <wp:effectExtent b="0" l="0" r="0" t="0"/>
                <wp:wrapNone/>
                <wp:docPr id="10" name=""/>
                <a:graphic>
                  <a:graphicData uri="http://schemas.microsoft.com/office/word/2010/wordprocessingShape">
                    <wps:wsp>
                      <wps:cNvSpPr/>
                      <wps:cNvPr id="2" name="Shape 2"/>
                      <wps:spPr>
                        <a:xfrm>
                          <a:off x="2655188" y="3322800"/>
                          <a:ext cx="5381625" cy="914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Handyman</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36"/>
                                <w:vertAlign w:val="baseline"/>
                              </w:rPr>
                              <w:t xml:space="preserve">Job Description and Person Specification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228600</wp:posOffset>
                </wp:positionV>
                <wp:extent cx="5400675" cy="942975"/>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00675" cy="942975"/>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1"/>
        <w:spacing w:after="60" w:before="24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Mission Statement</w:t>
      </w:r>
    </w:p>
    <w:p w:rsidR="00000000" w:rsidDel="00000000" w:rsidP="00000000" w:rsidRDefault="00000000" w:rsidRPr="00000000" w14:paraId="0000000D">
      <w:pPr>
        <w:keepNext w:val="1"/>
        <w:spacing w:after="60" w:before="24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160" w:line="259" w:lineRule="auto"/>
        <w:rPr>
          <w:rFonts w:ascii="Arial" w:cs="Arial" w:eastAsia="Arial" w:hAnsi="Arial"/>
        </w:rPr>
      </w:pPr>
      <w:r w:rsidDel="00000000" w:rsidR="00000000" w:rsidRPr="00000000">
        <w:rPr>
          <w:rFonts w:ascii="Arial" w:cs="Arial" w:eastAsia="Arial" w:hAnsi="Arial"/>
          <w:rtl w:val="0"/>
        </w:rPr>
        <w:t xml:space="preserve">We accept all students </w:t>
      </w:r>
      <w:r w:rsidDel="00000000" w:rsidR="00000000" w:rsidRPr="00000000">
        <w:rPr>
          <w:rFonts w:ascii="Arial" w:cs="Arial" w:eastAsia="Arial" w:hAnsi="Arial"/>
          <w:b w:val="1"/>
          <w:rtl w:val="0"/>
        </w:rPr>
        <w:t xml:space="preserve">as they are </w:t>
      </w:r>
      <w:r w:rsidDel="00000000" w:rsidR="00000000" w:rsidRPr="00000000">
        <w:rPr>
          <w:rFonts w:ascii="Arial" w:cs="Arial" w:eastAsia="Arial" w:hAnsi="Arial"/>
          <w:rtl w:val="0"/>
        </w:rPr>
        <w:t xml:space="preserve">and believe that every one of them is </w:t>
      </w:r>
      <w:r w:rsidDel="00000000" w:rsidR="00000000" w:rsidRPr="00000000">
        <w:rPr>
          <w:rFonts w:ascii="Arial" w:cs="Arial" w:eastAsia="Arial" w:hAnsi="Arial"/>
          <w:b w:val="1"/>
          <w:rtl w:val="0"/>
        </w:rPr>
        <w:t xml:space="preserve">entitled </w:t>
      </w:r>
      <w:r w:rsidDel="00000000" w:rsidR="00000000" w:rsidRPr="00000000">
        <w:rPr>
          <w:rFonts w:ascii="Arial" w:cs="Arial" w:eastAsia="Arial" w:hAnsi="Arial"/>
          <w:rtl w:val="0"/>
        </w:rPr>
        <w:t xml:space="preserve">to the very </w:t>
      </w:r>
      <w:r w:rsidDel="00000000" w:rsidR="00000000" w:rsidRPr="00000000">
        <w:rPr>
          <w:rFonts w:ascii="Arial" w:cs="Arial" w:eastAsia="Arial" w:hAnsi="Arial"/>
          <w:b w:val="1"/>
          <w:rtl w:val="0"/>
        </w:rPr>
        <w:t xml:space="preserve">best education</w:t>
      </w:r>
      <w:r w:rsidDel="00000000" w:rsidR="00000000" w:rsidRPr="00000000">
        <w:rPr>
          <w:rFonts w:ascii="Arial" w:cs="Arial" w:eastAsia="Arial" w:hAnsi="Arial"/>
          <w:rtl w:val="0"/>
        </w:rPr>
        <w:t xml:space="preserve">, delivered in an </w:t>
      </w:r>
      <w:r w:rsidDel="00000000" w:rsidR="00000000" w:rsidRPr="00000000">
        <w:rPr>
          <w:rFonts w:ascii="Arial" w:cs="Arial" w:eastAsia="Arial" w:hAnsi="Arial"/>
          <w:b w:val="1"/>
          <w:rtl w:val="0"/>
        </w:rPr>
        <w:t xml:space="preserve">environment </w:t>
      </w:r>
      <w:r w:rsidDel="00000000" w:rsidR="00000000" w:rsidRPr="00000000">
        <w:rPr>
          <w:rFonts w:ascii="Arial" w:cs="Arial" w:eastAsia="Arial" w:hAnsi="Arial"/>
          <w:rtl w:val="0"/>
        </w:rPr>
        <w:t xml:space="preserve">that is </w:t>
      </w:r>
      <w:r w:rsidDel="00000000" w:rsidR="00000000" w:rsidRPr="00000000">
        <w:rPr>
          <w:rFonts w:ascii="Arial" w:cs="Arial" w:eastAsia="Arial" w:hAnsi="Arial"/>
          <w:b w:val="1"/>
          <w:rtl w:val="0"/>
        </w:rPr>
        <w:t xml:space="preserve">supportive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caring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safe</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160" w:line="259" w:lineRule="auto"/>
        <w:rPr>
          <w:rFonts w:ascii="Arial" w:cs="Arial" w:eastAsia="Arial" w:hAnsi="Arial"/>
        </w:rPr>
      </w:pPr>
      <w:r w:rsidDel="00000000" w:rsidR="00000000" w:rsidRPr="00000000">
        <w:rPr>
          <w:rFonts w:ascii="Arial" w:cs="Arial" w:eastAsia="Arial" w:hAnsi="Arial"/>
          <w:rtl w:val="0"/>
        </w:rPr>
        <w:t xml:space="preserve">Our goal is to develop our students to become:</w:t>
      </w:r>
    </w:p>
    <w:p w:rsidR="00000000" w:rsidDel="00000000" w:rsidP="00000000" w:rsidRDefault="00000000" w:rsidRPr="00000000" w14:paraId="00000010">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Successful </w:t>
      </w:r>
      <w:r w:rsidDel="00000000" w:rsidR="00000000" w:rsidRPr="00000000">
        <w:rPr>
          <w:rFonts w:ascii="Arial" w:cs="Arial" w:eastAsia="Arial" w:hAnsi="Arial"/>
          <w:rtl w:val="0"/>
        </w:rPr>
        <w:t xml:space="preserve">Learners.</w:t>
      </w:r>
    </w:p>
    <w:p w:rsidR="00000000" w:rsidDel="00000000" w:rsidP="00000000" w:rsidRDefault="00000000" w:rsidRPr="00000000" w14:paraId="00000011">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rtl w:val="0"/>
        </w:rPr>
        <w:t xml:space="preserve">As </w:t>
      </w:r>
      <w:r w:rsidDel="00000000" w:rsidR="00000000" w:rsidRPr="00000000">
        <w:rPr>
          <w:rFonts w:ascii="Arial" w:cs="Arial" w:eastAsia="Arial" w:hAnsi="Arial"/>
          <w:b w:val="1"/>
          <w:rtl w:val="0"/>
        </w:rPr>
        <w:t xml:space="preserve">independent </w:t>
      </w:r>
      <w:r w:rsidDel="00000000" w:rsidR="00000000" w:rsidRPr="00000000">
        <w:rPr>
          <w:rFonts w:ascii="Arial" w:cs="Arial" w:eastAsia="Arial" w:hAnsi="Arial"/>
          <w:rtl w:val="0"/>
        </w:rPr>
        <w:t xml:space="preserve">as possible.</w:t>
      </w:r>
    </w:p>
    <w:p w:rsidR="00000000" w:rsidDel="00000000" w:rsidP="00000000" w:rsidRDefault="00000000" w:rsidRPr="00000000" w14:paraId="00000012">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Confident </w:t>
      </w:r>
      <w:r w:rsidDel="00000000" w:rsidR="00000000" w:rsidRPr="00000000">
        <w:rPr>
          <w:rFonts w:ascii="Arial" w:cs="Arial" w:eastAsia="Arial" w:hAnsi="Arial"/>
          <w:rtl w:val="0"/>
        </w:rPr>
        <w:t xml:space="preserve">individuals and self-advocates.</w:t>
      </w:r>
    </w:p>
    <w:p w:rsidR="00000000" w:rsidDel="00000000" w:rsidP="00000000" w:rsidRDefault="00000000" w:rsidRPr="00000000" w14:paraId="00000013">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Effective</w:t>
      </w:r>
      <w:r w:rsidDel="00000000" w:rsidR="00000000" w:rsidRPr="00000000">
        <w:rPr>
          <w:rFonts w:ascii="Arial" w:cs="Arial" w:eastAsia="Arial" w:hAnsi="Arial"/>
          <w:rtl w:val="0"/>
        </w:rPr>
        <w:t xml:space="preserve"> communicators and </w:t>
      </w:r>
      <w:r w:rsidDel="00000000" w:rsidR="00000000" w:rsidRPr="00000000">
        <w:rPr>
          <w:rFonts w:ascii="Arial" w:cs="Arial" w:eastAsia="Arial" w:hAnsi="Arial"/>
          <w:b w:val="1"/>
          <w:rtl w:val="0"/>
        </w:rPr>
        <w:t xml:space="preserve">contributors</w:t>
      </w:r>
      <w:r w:rsidDel="00000000" w:rsidR="00000000" w:rsidRPr="00000000">
        <w:rPr>
          <w:rFonts w:ascii="Arial" w:cs="Arial" w:eastAsia="Arial" w:hAnsi="Arial"/>
          <w:rtl w:val="0"/>
        </w:rPr>
        <w:t xml:space="preserve">.</w:t>
      </w:r>
    </w:p>
    <w:p w:rsidR="00000000" w:rsidDel="00000000" w:rsidP="00000000" w:rsidRDefault="00000000" w:rsidRPr="00000000" w14:paraId="00000014">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Responsible </w:t>
      </w:r>
      <w:r w:rsidDel="00000000" w:rsidR="00000000" w:rsidRPr="00000000">
        <w:rPr>
          <w:rFonts w:ascii="Arial" w:cs="Arial" w:eastAsia="Arial" w:hAnsi="Arial"/>
          <w:rtl w:val="0"/>
        </w:rPr>
        <w:t xml:space="preserve">citizens.</w:t>
      </w:r>
    </w:p>
    <w:p w:rsidR="00000000" w:rsidDel="00000000" w:rsidP="00000000" w:rsidRDefault="00000000" w:rsidRPr="00000000" w14:paraId="00000015">
      <w:pPr>
        <w:spacing w:after="160" w:line="259" w:lineRule="auto"/>
        <w:rPr>
          <w:rFonts w:ascii="Arial" w:cs="Arial" w:eastAsia="Arial" w:hAnsi="Arial"/>
        </w:rPr>
      </w:pPr>
      <w:r w:rsidDel="00000000" w:rsidR="00000000" w:rsidRPr="00000000">
        <w:rPr>
          <w:rFonts w:ascii="Arial" w:cs="Arial" w:eastAsia="Arial" w:hAnsi="Arial"/>
          <w:rtl w:val="0"/>
        </w:rPr>
        <w:t xml:space="preserve">We will do this by working to </w:t>
      </w:r>
      <w:r w:rsidDel="00000000" w:rsidR="00000000" w:rsidRPr="00000000">
        <w:rPr>
          <w:rFonts w:ascii="Arial" w:cs="Arial" w:eastAsia="Arial" w:hAnsi="Arial"/>
          <w:b w:val="1"/>
          <w:rtl w:val="0"/>
        </w:rPr>
        <w:t xml:space="preserve">ensure we get every aspect of their provision just right</w:t>
      </w:r>
      <w:r w:rsidDel="00000000" w:rsidR="00000000" w:rsidRPr="00000000">
        <w:rPr>
          <w:rFonts w:ascii="Arial" w:cs="Arial" w:eastAsia="Arial" w:hAnsi="Arial"/>
          <w:rtl w:val="0"/>
        </w:rPr>
        <w:t xml:space="preserve">, helping them to achieve academically, personally, socially and morally.</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Job Description </w:t>
      </w:r>
    </w:p>
    <w:tbl>
      <w:tblPr>
        <w:tblStyle w:val="Table1"/>
        <w:tblW w:w="9026.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214"/>
        <w:gridCol w:w="6812"/>
        <w:tblGridChange w:id="0">
          <w:tblGrid>
            <w:gridCol w:w="2214"/>
            <w:gridCol w:w="6812"/>
          </w:tblGrid>
        </w:tblGridChange>
      </w:tblGrid>
      <w:tr>
        <w:trPr>
          <w:cantSplit w:val="0"/>
          <w:tblHeader w:val="0"/>
        </w:trPr>
        <w:tc>
          <w:tcPr/>
          <w:p w:rsidR="00000000" w:rsidDel="00000000" w:rsidP="00000000" w:rsidRDefault="00000000" w:rsidRPr="00000000" w14:paraId="000000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Post:</w:t>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Handyman</w:t>
            </w:r>
          </w:p>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Salary:</w:t>
            </w:r>
          </w:p>
        </w:tc>
        <w:tc>
          <w:tcPr>
            <w:vAlign w:val="bottom"/>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Kent Range 3</w:t>
            </w:r>
          </w:p>
          <w:p w:rsidR="00000000" w:rsidDel="00000000" w:rsidP="00000000" w:rsidRDefault="00000000" w:rsidRPr="00000000" w14:paraId="0000002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Hours:</w:t>
            </w:r>
          </w:p>
        </w:tc>
        <w:tc>
          <w:tcPr>
            <w:vAlign w:val="cente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37 hours per week, all year </w:t>
            </w:r>
          </w:p>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Responsible to:</w:t>
            </w:r>
          </w:p>
        </w:tc>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Site Manager </w:t>
            </w:r>
          </w:p>
          <w:p w:rsidR="00000000" w:rsidDel="00000000" w:rsidP="00000000" w:rsidRDefault="00000000" w:rsidRPr="00000000" w14:paraId="00000026">
            <w:pPr>
              <w:rPr>
                <w:rFonts w:ascii="Arial" w:cs="Arial" w:eastAsia="Arial" w:hAnsi="Arial"/>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Tasks: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20"/>
        <w:tblGridChange w:id="0">
          <w:tblGrid>
            <w:gridCol w:w="9020"/>
          </w:tblGrid>
        </w:tblGridChange>
      </w:tblGrid>
      <w:tr>
        <w:trPr>
          <w:cantSplit w:val="0"/>
          <w:trHeight w:val="80" w:hRule="atLeast"/>
          <w:tblHeader w:val="0"/>
        </w:trP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Handyman</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Key responsibilities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general repairs and maintenance around the site, inside and out, as requested by the Site Manager, to ensure the site is a safe environment for students, staff and visitors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minor repairs to school equipment</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Repair resources in classrooms as necessary.</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non-specialist building maintenance work, eg plumbing, glazing, carpentry, decorating etc, where such work is agreed as being within the reasonable capacity of normal handyperson/DIY Skills with strict adherence to Health and Safety regulations.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 and maintain certain school equipment, effect minor repairs and report defects.</w:t>
            </w:r>
          </w:p>
        </w:tc>
      </w:tr>
      <w:tr>
        <w:trPr>
          <w:cantSplit w:val="0"/>
          <w:trHeight w:val="80" w:hRule="atLeast"/>
          <w:tblHeader w:val="0"/>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21" w:hRule="atLeast"/>
          <w:tblHeader w:val="0"/>
        </w:trPr>
        <w:tc>
          <w:tcPr/>
          <w:p w:rsidR="00000000" w:rsidDel="00000000" w:rsidP="00000000" w:rsidRDefault="00000000" w:rsidRPr="00000000" w14:paraId="00000032">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additional all members of the school community are expected to:</w:t>
            </w:r>
          </w:p>
          <w:p w:rsidR="00000000" w:rsidDel="00000000" w:rsidP="00000000" w:rsidRDefault="00000000" w:rsidRPr="00000000" w14:paraId="00000033">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Display a commitment to child protection and safeguarding. Report to the headteacher any behaviour by colleagues, parents and children which raises concern.</w:t>
            </w:r>
          </w:p>
          <w:p w:rsidR="00000000" w:rsidDel="00000000" w:rsidP="00000000" w:rsidRDefault="00000000" w:rsidRPr="00000000" w14:paraId="00000034">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policies and procedures relating to child protection, health, safety and security, confidentiality and data protection, reporting all concerns to an appropriate person</w:t>
            </w:r>
          </w:p>
        </w:tc>
      </w:tr>
    </w:tbl>
    <w:p w:rsidR="00000000" w:rsidDel="00000000" w:rsidP="00000000" w:rsidRDefault="00000000" w:rsidRPr="00000000" w14:paraId="0000003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after="0" w:lineRule="auto"/>
        <w:jc w:val="center"/>
        <w:rPr>
          <w:rFonts w:ascii="Arial" w:cs="Arial" w:eastAsia="Arial" w:hAnsi="Arial"/>
          <w:i w:val="1"/>
        </w:rPr>
      </w:pPr>
      <w:r w:rsidDel="00000000" w:rsidR="00000000" w:rsidRPr="00000000">
        <w:rPr>
          <w:rFonts w:ascii="Arial" w:cs="Arial" w:eastAsia="Arial" w:hAnsi="Arial"/>
          <w:i w:val="1"/>
          <w:rtl w:val="0"/>
        </w:rPr>
        <w:t xml:space="preserve">Stone Bay School is committed to safeguarding and promoting the welfare of children and young people and expects all staff and volunteers to share this commitment.</w:t>
      </w:r>
    </w:p>
    <w:p w:rsidR="00000000" w:rsidDel="00000000" w:rsidP="00000000" w:rsidRDefault="00000000" w:rsidRPr="00000000" w14:paraId="00000037">
      <w:pPr>
        <w:spacing w:after="0"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38">
      <w:pPr>
        <w:spacing w:after="0"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39">
      <w:pPr>
        <w:tabs>
          <w:tab w:val="left" w:leader="none" w:pos="-720"/>
        </w:tabs>
        <w:rPr>
          <w:rFonts w:ascii="Arial" w:cs="Arial" w:eastAsia="Arial" w:hAnsi="Arial"/>
          <w:sz w:val="24"/>
          <w:szCs w:val="24"/>
        </w:rPr>
      </w:pPr>
      <w:r w:rsidDel="00000000" w:rsidR="00000000" w:rsidRPr="00000000">
        <w:rPr>
          <w:rFonts w:ascii="Arial" w:cs="Arial" w:eastAsia="Arial" w:hAnsi="Arial"/>
          <w:sz w:val="24"/>
          <w:szCs w:val="24"/>
          <w:rtl w:val="0"/>
        </w:rPr>
        <w:t xml:space="preserve">The duties may be varied to meet the changing demands of the school and these duties may therefore be changed at the discretion of the Headteacher and following consultation with you</w:t>
      </w:r>
    </w:p>
    <w:p w:rsidR="00000000" w:rsidDel="00000000" w:rsidP="00000000" w:rsidRDefault="00000000" w:rsidRPr="00000000" w14:paraId="0000003A">
      <w:pPr>
        <w:tabs>
          <w:tab w:val="left" w:leader="none" w:pos="-720"/>
        </w:tabs>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Staff Development Days: Attendance Requirements</w:t>
      </w:r>
    </w:p>
    <w:p w:rsidR="00000000" w:rsidDel="00000000" w:rsidP="00000000" w:rsidRDefault="00000000" w:rsidRPr="00000000" w14:paraId="0000003B">
      <w:pPr>
        <w:tabs>
          <w:tab w:val="left" w:leader="none" w:pos="-72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tabs>
          <w:tab w:val="left" w:leader="none" w:pos="-720"/>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line with Department of Education requirements, the school allocates 5 days per year for the purpose of school improvement and school/staff development. The requirement to attend Staff Development Days is incorporated into the contracts of all directly employed staff. This includes mandatory training, as detailed below, and core training. Core training includes such courses as Autism Awareness, Behaviour Management, Makaton, First Aid and Manual Handling.</w:t>
      </w:r>
    </w:p>
    <w:p w:rsidR="00000000" w:rsidDel="00000000" w:rsidP="00000000" w:rsidRDefault="00000000" w:rsidRPr="00000000" w14:paraId="0000003D">
      <w:pPr>
        <w:tabs>
          <w:tab w:val="left" w:leader="none" w:pos="-72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tabs>
          <w:tab w:val="left" w:leader="none" w:pos="-72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tabs>
          <w:tab w:val="left" w:leader="none" w:pos="-720"/>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training</w:t>
      </w:r>
    </w:p>
    <w:p w:rsidR="00000000" w:rsidDel="00000000" w:rsidP="00000000" w:rsidRDefault="00000000" w:rsidRPr="00000000" w14:paraId="00000040">
      <w:pPr>
        <w:tabs>
          <w:tab w:val="left" w:leader="none" w:pos="-720"/>
        </w:tabs>
        <w:spacing w:after="0" w:line="240" w:lineRule="auto"/>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41">
      <w:pPr>
        <w:tabs>
          <w:tab w:val="left" w:leader="none" w:pos="-720"/>
        </w:tabs>
        <w:spacing w:after="0" w:line="240" w:lineRule="auto"/>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ProactSCIP√UK®</w:t>
          </w:r>
        </w:sdtContent>
      </w:sdt>
      <w:r w:rsidDel="00000000" w:rsidR="00000000" w:rsidRPr="00000000">
        <w:rPr>
          <w:rFonts w:ascii="Arial" w:cs="Arial" w:eastAsia="Arial" w:hAnsi="Arial"/>
          <w:sz w:val="24"/>
          <w:szCs w:val="24"/>
          <w:rtl w:val="0"/>
        </w:rPr>
        <w:t xml:space="preserve"> training and </w:t>
      </w:r>
      <w:r w:rsidDel="00000000" w:rsidR="00000000" w:rsidRPr="00000000">
        <w:rPr>
          <w:rFonts w:ascii="Arial" w:cs="Arial" w:eastAsia="Arial" w:hAnsi="Arial"/>
          <w:b w:val="1"/>
          <w:sz w:val="24"/>
          <w:szCs w:val="24"/>
          <w:rtl w:val="0"/>
        </w:rPr>
        <w:t xml:space="preserve">Child Protection </w:t>
      </w:r>
      <w:r w:rsidDel="00000000" w:rsidR="00000000" w:rsidRPr="00000000">
        <w:rPr>
          <w:rFonts w:ascii="Arial" w:cs="Arial" w:eastAsia="Arial" w:hAnsi="Arial"/>
          <w:sz w:val="24"/>
          <w:szCs w:val="24"/>
          <w:rtl w:val="0"/>
        </w:rPr>
        <w:t xml:space="preserve">training are included as an integral part of Staff Development Days throughout the year.  The requirements for this mandatory training are:</w:t>
      </w:r>
    </w:p>
    <w:p w:rsidR="00000000" w:rsidDel="00000000" w:rsidP="00000000" w:rsidRDefault="00000000" w:rsidRPr="00000000" w14:paraId="00000042">
      <w:pPr>
        <w:tabs>
          <w:tab w:val="left" w:leader="none" w:pos="-72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tabs>
          <w:tab w:val="left" w:leader="none" w:pos="-720"/>
        </w:tabs>
        <w:spacing w:after="0" w:line="240" w:lineRule="auto"/>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ProactSCIP√UK® : Appropriate staff to attend a course every year.</w:t>
          </w:r>
        </w:sdtContent>
      </w:sdt>
    </w:p>
    <w:p w:rsidR="00000000" w:rsidDel="00000000" w:rsidP="00000000" w:rsidRDefault="00000000" w:rsidRPr="00000000" w14:paraId="00000044">
      <w:pPr>
        <w:tabs>
          <w:tab w:val="left" w:leader="none" w:pos="-72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tabs>
          <w:tab w:val="left" w:leader="none" w:pos="-72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Protection: All staff to attend an Annual Update every year.</w:t>
      </w:r>
    </w:p>
    <w:p w:rsidR="00000000" w:rsidDel="00000000" w:rsidP="00000000" w:rsidRDefault="00000000" w:rsidRPr="00000000" w14:paraId="00000046">
      <w:pPr>
        <w:tabs>
          <w:tab w:val="left" w:leader="none" w:pos="-72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tabs>
          <w:tab w:val="left" w:leader="none" w:pos="-72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mandatory and core training events will be arranged for new staff as required.</w:t>
      </w:r>
    </w:p>
    <w:p w:rsidR="00000000" w:rsidDel="00000000" w:rsidP="00000000" w:rsidRDefault="00000000" w:rsidRPr="00000000" w14:paraId="00000048">
      <w:pPr>
        <w:tabs>
          <w:tab w:val="left" w:leader="none" w:pos="-72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Person Specification - Handyman</w:t>
      </w:r>
    </w:p>
    <w:tbl>
      <w:tblPr>
        <w:tblStyle w:val="Table3"/>
        <w:tblW w:w="8957.0" w:type="dxa"/>
        <w:jc w:val="left"/>
        <w:tblInd w:w="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548"/>
        <w:gridCol w:w="1204"/>
        <w:gridCol w:w="1205"/>
        <w:tblGridChange w:id="0">
          <w:tblGrid>
            <w:gridCol w:w="6548"/>
            <w:gridCol w:w="1204"/>
            <w:gridCol w:w="1205"/>
          </w:tblGrid>
        </w:tblGridChange>
      </w:tblGrid>
      <w:tr>
        <w:trPr>
          <w:cantSplit w:val="0"/>
          <w:trHeight w:val="487" w:hRule="atLeast"/>
          <w:tblHeader w:val="0"/>
        </w:trPr>
        <w:tc>
          <w:tcPr>
            <w:tcBorders>
              <w:top w:color="000000" w:space="0" w:sz="12" w:val="single"/>
              <w:left w:color="000000" w:space="0" w:sz="12" w:val="single"/>
              <w:bottom w:color="000000" w:space="0" w:sz="12" w:val="single"/>
            </w:tcBorders>
            <w:shd w:fill="f3f3f3" w:val="clear"/>
            <w:vAlign w:val="center"/>
          </w:tcPr>
          <w:p w:rsidR="00000000" w:rsidDel="00000000" w:rsidP="00000000" w:rsidRDefault="00000000" w:rsidRPr="00000000" w14:paraId="0000004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Skills, Knowledge &amp; Aptitudes</w:t>
            </w:r>
          </w:p>
        </w:tc>
        <w:tc>
          <w:tcPr>
            <w:tcBorders>
              <w:top w:color="000000" w:space="0" w:sz="12" w:val="single"/>
              <w:bottom w:color="000000" w:space="0" w:sz="12" w:val="single"/>
            </w:tcBorders>
            <w:shd w:fill="f3f3f3" w:val="clear"/>
            <w:vAlign w:val="center"/>
          </w:tcPr>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Essential.</w:t>
            </w:r>
          </w:p>
        </w:tc>
        <w:tc>
          <w:tcPr>
            <w:tcBorders>
              <w:top w:color="000000" w:space="0" w:sz="12" w:val="single"/>
              <w:bottom w:color="000000" w:space="0" w:sz="12" w:val="single"/>
              <w:right w:color="000000" w:space="0" w:sz="12" w:val="single"/>
            </w:tcBorders>
            <w:shd w:fill="f3f3f3" w:val="clear"/>
            <w:vAlign w:val="center"/>
          </w:tcPr>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Desirable</w:t>
            </w:r>
          </w:p>
        </w:tc>
      </w:tr>
      <w:tr>
        <w:trPr>
          <w:cantSplit w:val="0"/>
          <w:trHeight w:val="487" w:hRule="atLeast"/>
          <w:tblHeader w:val="0"/>
        </w:trPr>
        <w:tc>
          <w:tcPr>
            <w:tcBorders>
              <w:top w:color="000000" w:space="0" w:sz="12" w:val="single"/>
              <w:left w:color="000000" w:space="0" w:sz="12" w:val="single"/>
              <w:bottom w:color="000000" w:space="0" w:sz="6" w:val="single"/>
              <w:right w:color="000000" w:space="0" w:sz="6" w:val="single"/>
            </w:tcBorders>
            <w:shd w:fill="ffffff" w:val="clear"/>
            <w:vAlign w:val="center"/>
          </w:tcPr>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Experience of carrying out specialist building maintenance work, within the reasonable capacity of a normal handyperson </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Ability to carry out repair and maintenance work with expertise in DIY – eg woodwork, plumbing , painting and decorating skills</w:t>
            </w:r>
          </w:p>
        </w:tc>
        <w:tc>
          <w:tcPr>
            <w:tcBorders>
              <w:top w:color="000000" w:space="0" w:sz="12"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50">
            <w:pPr>
              <w:spacing w:after="0" w:line="240" w:lineRule="auto"/>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shd w:fill="ffffff" w:val="clear"/>
            <w:vAlign w:val="center"/>
          </w:tcPr>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tc>
      </w:tr>
      <w:tr>
        <w:trPr>
          <w:cantSplit w:val="0"/>
          <w:trHeight w:val="487" w:hRule="atLeast"/>
          <w:tblHeader w:val="0"/>
        </w:trPr>
        <w:tc>
          <w:tcPr>
            <w:tcBorders>
              <w:top w:color="000000" w:space="0" w:sz="12" w:val="single"/>
              <w:left w:color="000000" w:space="0" w:sz="12" w:val="single"/>
              <w:bottom w:color="000000" w:space="0" w:sz="6" w:val="single"/>
              <w:right w:color="000000" w:space="0" w:sz="6" w:val="single"/>
            </w:tcBorders>
            <w:shd w:fill="ffffff" w:val="clear"/>
            <w:vAlign w:val="center"/>
          </w:tcPr>
          <w:p w:rsidR="00000000" w:rsidDel="00000000" w:rsidP="00000000" w:rsidRDefault="00000000" w:rsidRPr="00000000" w14:paraId="00000052">
            <w:pPr>
              <w:spacing w:after="0" w:line="240" w:lineRule="auto"/>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Ability to undertake a range of caretaking and cleaning duties and maintenance and repair tasks </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Ability to identify work priorities and manage own workload, whilst ensuring that lower priority work is kept up to date </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Ability to act on own initiative, dealing with any unexpected problems that arise </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Ability to provide high quality supervision to support the Site Manager in working with the Maintenance Team. </w:t>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Ability to inspect and record the work of others </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Fonts w:ascii="Arial" w:cs="Arial" w:eastAsia="Arial" w:hAnsi="Arial"/>
                <w:rtl w:val="0"/>
              </w:rPr>
              <w:t xml:space="preserve">Ability to work effectively and supportively as a member of the school team</w:t>
            </w:r>
          </w:p>
        </w:tc>
        <w:tc>
          <w:tcPr>
            <w:tcBorders>
              <w:top w:color="000000" w:space="0" w:sz="12"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5D">
            <w:pPr>
              <w:spacing w:after="0" w:line="240" w:lineRule="auto"/>
              <w:rPr>
                <w:rFonts w:ascii="Arial" w:cs="Arial" w:eastAsia="Arial" w:hAnsi="Arial"/>
                <w:b w:val="1"/>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p>
        </w:tc>
        <w:tc>
          <w:tcPr>
            <w:tcBorders>
              <w:top w:color="000000" w:space="0" w:sz="12" w:val="single"/>
              <w:left w:color="000000" w:space="0" w:sz="6" w:val="single"/>
              <w:bottom w:color="000000" w:space="0" w:sz="6" w:val="single"/>
              <w:right w:color="000000" w:space="0" w:sz="12" w:val="single"/>
            </w:tcBorders>
            <w:shd w:fill="ffffff" w:val="clear"/>
            <w:vAlign w:val="center"/>
          </w:tcPr>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tc>
      </w:tr>
      <w:tr>
        <w:trPr>
          <w:cantSplit w:val="0"/>
          <w:trHeight w:val="487" w:hRule="atLeast"/>
          <w:tblHeader w:val="0"/>
        </w:trPr>
        <w:tc>
          <w:tcPr>
            <w:tcBorders>
              <w:top w:color="000000" w:space="0" w:sz="12" w:val="single"/>
              <w:left w:color="000000" w:space="0" w:sz="12" w:val="single"/>
              <w:bottom w:color="000000" w:space="0" w:sz="12" w:val="single"/>
            </w:tcBorders>
            <w:shd w:fill="f3f3f3" w:val="clear"/>
            <w:vAlign w:val="center"/>
          </w:tcPr>
          <w:p w:rsidR="00000000" w:rsidDel="00000000" w:rsidP="00000000" w:rsidRDefault="00000000" w:rsidRPr="00000000" w14:paraId="0000005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Qualifications &amp; Training</w:t>
            </w:r>
          </w:p>
        </w:tc>
        <w:tc>
          <w:tcPr>
            <w:tcBorders>
              <w:top w:color="000000" w:space="0" w:sz="12" w:val="single"/>
              <w:bottom w:color="000000" w:space="0" w:sz="12" w:val="single"/>
            </w:tcBorders>
            <w:shd w:fill="f3f3f3" w:val="clear"/>
            <w:vAlign w:val="center"/>
          </w:tcPr>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rtl w:val="0"/>
              </w:rPr>
              <w:t xml:space="preserve">Essential.</w:t>
            </w:r>
          </w:p>
        </w:tc>
        <w:tc>
          <w:tcPr>
            <w:tcBorders>
              <w:top w:color="000000" w:space="0" w:sz="12" w:val="single"/>
              <w:bottom w:color="000000" w:space="0" w:sz="12" w:val="single"/>
              <w:right w:color="000000" w:space="0" w:sz="12" w:val="single"/>
            </w:tcBorders>
            <w:shd w:fill="f3f3f3" w:val="clear"/>
            <w:vAlign w:val="center"/>
          </w:tcPr>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Desirable.</w:t>
            </w:r>
          </w:p>
        </w:tc>
      </w:tr>
      <w:tr>
        <w:trPr>
          <w:cantSplit w:val="0"/>
          <w:trHeight w:val="487" w:hRule="atLeast"/>
          <w:tblHeader w:val="0"/>
        </w:trPr>
        <w:tc>
          <w:tcPr>
            <w:tcBorders>
              <w:top w:color="000000" w:space="0" w:sz="12" w:val="single"/>
              <w:left w:color="000000" w:space="0" w:sz="12" w:val="single"/>
            </w:tcBorders>
            <w:shd w:fill="ffffff" w:val="clear"/>
            <w:vAlign w:val="center"/>
          </w:tcPr>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rtl w:val="0"/>
              </w:rPr>
              <w:t xml:space="preserve">A minimum of GCSE or equivalent Grade C in English and Maths</w:t>
            </w:r>
          </w:p>
        </w:tc>
        <w:tc>
          <w:tcPr>
            <w:tcBorders>
              <w:top w:color="000000" w:space="0" w:sz="12" w:val="single"/>
            </w:tcBorders>
            <w:shd w:fill="ffffff" w:val="clear"/>
            <w:vAlign w:val="center"/>
          </w:tcPr>
          <w:p w:rsidR="00000000" w:rsidDel="00000000" w:rsidP="00000000" w:rsidRDefault="00000000" w:rsidRPr="00000000" w14:paraId="00000063">
            <w:pPr>
              <w:spacing w:after="0" w:line="240" w:lineRule="auto"/>
              <w:rPr>
                <w:rFonts w:ascii="Arial" w:cs="Arial" w:eastAsia="Arial" w:hAnsi="Arial"/>
                <w:b w:val="1"/>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p>
        </w:tc>
        <w:tc>
          <w:tcPr>
            <w:tcBorders>
              <w:top w:color="000000" w:space="0" w:sz="12" w:val="single"/>
              <w:right w:color="000000" w:space="0" w:sz="12" w:val="single"/>
            </w:tcBorders>
            <w:shd w:fill="ffffff" w:val="clear"/>
            <w:vAlign w:val="center"/>
          </w:tcPr>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keepNext w:val="1"/>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sectPr>
      <w:headerReference r:id="rId10" w:type="first"/>
      <w:pgSz w:h="16838" w:w="11906" w:orient="portrait"/>
      <w:pgMar w:bottom="851" w:top="198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Unicode MS"/>
  <w:font w:name="Courier New"/>
  <w:font w:name="Arial Rounded"/>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0562"/>
  </w:style>
  <w:style w:type="paragraph" w:styleId="Heading1">
    <w:name w:val="heading 1"/>
    <w:basedOn w:val="Normal"/>
    <w:next w:val="Normal"/>
    <w:link w:val="Heading1Char"/>
    <w:uiPriority w:val="9"/>
    <w:qFormat w:val="1"/>
    <w:rsid w:val="001B563A"/>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F7A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7A08"/>
    <w:rPr>
      <w:rFonts w:ascii="Tahoma" w:cs="Tahoma" w:hAnsi="Tahoma"/>
      <w:sz w:val="16"/>
      <w:szCs w:val="16"/>
    </w:rPr>
  </w:style>
  <w:style w:type="table" w:styleId="TableGrid">
    <w:name w:val="Table Grid"/>
    <w:basedOn w:val="TableNormal"/>
    <w:uiPriority w:val="59"/>
    <w:rsid w:val="00900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F41C1"/>
    <w:pPr>
      <w:ind w:left="720"/>
      <w:contextualSpacing w:val="1"/>
    </w:pPr>
  </w:style>
  <w:style w:type="paragraph" w:styleId="Header">
    <w:name w:val="header"/>
    <w:basedOn w:val="Normal"/>
    <w:link w:val="HeaderChar"/>
    <w:unhideWhenUsed w:val="1"/>
    <w:rsid w:val="009F1AF3"/>
    <w:pPr>
      <w:tabs>
        <w:tab w:val="center" w:pos="4513"/>
        <w:tab w:val="right" w:pos="9026"/>
      </w:tabs>
      <w:spacing w:after="0" w:line="240" w:lineRule="auto"/>
    </w:pPr>
  </w:style>
  <w:style w:type="character" w:styleId="HeaderChar" w:customStyle="1">
    <w:name w:val="Header Char"/>
    <w:basedOn w:val="DefaultParagraphFont"/>
    <w:link w:val="Header"/>
    <w:rsid w:val="009F1AF3"/>
  </w:style>
  <w:style w:type="paragraph" w:styleId="Footer">
    <w:name w:val="footer"/>
    <w:basedOn w:val="Normal"/>
    <w:link w:val="FooterChar"/>
    <w:uiPriority w:val="99"/>
    <w:unhideWhenUsed w:val="1"/>
    <w:rsid w:val="009F1A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1AF3"/>
  </w:style>
  <w:style w:type="paragraph" w:styleId="BodyText2">
    <w:name w:val="Body Text 2"/>
    <w:basedOn w:val="Normal"/>
    <w:link w:val="BodyText2Char"/>
    <w:semiHidden w:val="1"/>
    <w:unhideWhenUsed w:val="1"/>
    <w:rsid w:val="00856D57"/>
    <w:pPr>
      <w:spacing w:after="0" w:line="240" w:lineRule="auto"/>
      <w:ind w:left="2880"/>
      <w:jc w:val="both"/>
    </w:pPr>
    <w:rPr>
      <w:rFonts w:ascii="Arial" w:cs="Times New Roman" w:eastAsia="Times New Roman" w:hAnsi="Arial"/>
      <w:sz w:val="24"/>
      <w:szCs w:val="20"/>
    </w:rPr>
  </w:style>
  <w:style w:type="character" w:styleId="BodyText2Char" w:customStyle="1">
    <w:name w:val="Body Text 2 Char"/>
    <w:basedOn w:val="DefaultParagraphFont"/>
    <w:link w:val="BodyText2"/>
    <w:semiHidden w:val="1"/>
    <w:rsid w:val="00856D57"/>
    <w:rPr>
      <w:rFonts w:ascii="Arial" w:cs="Times New Roman" w:eastAsia="Times New Roman" w:hAnsi="Arial"/>
      <w:sz w:val="24"/>
      <w:szCs w:val="20"/>
    </w:rPr>
  </w:style>
  <w:style w:type="character" w:styleId="Heading1Char" w:customStyle="1">
    <w:name w:val="Heading 1 Char"/>
    <w:basedOn w:val="DefaultParagraphFont"/>
    <w:link w:val="Heading1"/>
    <w:uiPriority w:val="9"/>
    <w:rsid w:val="001B563A"/>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 w:type="dxa"/>
        <w:left w:w="40.0" w:type="dxa"/>
        <w:bottom w:w="0.0" w:type="dxa"/>
        <w:right w:w="115.0" w:type="dxa"/>
      </w:tblCellMar>
    </w:tblPr>
  </w:style>
  <w:style w:type="table" w:styleId="Table4">
    <w:basedOn w:val="TableNormal"/>
    <w:tblPr>
      <w:tblStyleRowBandSize w:val="1"/>
      <w:tblStyleColBandSize w:val="1"/>
      <w:tblCellMar>
        <w:top w:w="10.0" w:type="dxa"/>
        <w:left w:w="40.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 w:type="dxa"/>
        <w:left w:w="40.0" w:type="dxa"/>
        <w:bottom w:w="0.0" w:type="dxa"/>
        <w:right w:w="115.0" w:type="dxa"/>
      </w:tblCellMar>
    </w:tblPr>
  </w:style>
  <w:style w:type="table" w:styleId="Table2">
    <w:basedOn w:val="TableNormal"/>
    <w:pPr>
      <w:spacing w:after="0" w:line="240" w:lineRule="auto"/>
    </w:pPr>
    <w:tblPr>
      <w:tblStyleRowBandSize w:val="1"/>
      <w:tblStyleColBandSize w:val="1"/>
      <w:tblCellMar>
        <w:top w:w="10.0" w:type="dxa"/>
        <w:left w:w="40.0" w:type="dxa"/>
        <w:bottom w:w="0.0" w:type="dxa"/>
        <w:right w:w="115.0" w:type="dxa"/>
      </w:tblCellMar>
    </w:tblPr>
  </w:style>
  <w:style w:type="table" w:styleId="Table3">
    <w:basedOn w:val="TableNormal"/>
    <w:pPr>
      <w:spacing w:after="0" w:line="240" w:lineRule="auto"/>
    </w:pPr>
    <w:tblPr>
      <w:tblStyleRowBandSize w:val="1"/>
      <w:tblStyleColBandSize w:val="1"/>
      <w:tblCellMar>
        <w:top w:w="10.0" w:type="dxa"/>
        <w:left w:w="4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Bu/LBYU3Zji3jNPFb1O+cFAPpw==">AMUW2mXX2m//GIKbdqhI4Lws64HR2EBzVNcLKtVb3Uz2Lx3VdiXU2hQblq+oHQh0bbvAGUTiHLECADcl5agNl6mV/JmbnYaBVK7J+3FVnv7WPa1nnqNJ9/BQbPkn9KaelgVLWP5AOUtOy3d3T/S6xQ4d9y0WN3NdV1pR5SKSVLyqfQQGQxQaYiMhfG+ikkt1mAg47NLjVuThevjeNCzRJqs2vT7BOJIj9KlYsRAuw1KUvD8krauR2zwskU4h91DaRIFXlIhbUSp6HFtodOjFpPY0lQ2wSidk344Y7+V7Z4IJWm67kzCc1KKfRABZSx2HklV3hjcdMXeQjrZv6hWtvdRw4pUZ3rRG+05XXZ2tUV+zMEGlr3ACv7K6YzzZeKFzmBw5yp9iA6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2023-03-20T18:06:00Z</dcterms:created>
  <dc:creator>Nikky Poulter</dc:creator>
</cp:coreProperties>
</file>