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04BD" w14:textId="77777777" w:rsidR="00551F65" w:rsidRDefault="00551F65" w:rsidP="001778EC">
      <w:pPr>
        <w:pStyle w:val="Heading1"/>
      </w:pPr>
      <w:bookmarkStart w:id="0" w:name="_heading=h.gjdgxs" w:colFirst="0" w:colLast="0"/>
      <w:bookmarkEnd w:id="0"/>
    </w:p>
    <w:p w14:paraId="54109915" w14:textId="6BE0E2E9" w:rsidR="00551F65" w:rsidRDefault="008102C6" w:rsidP="001778EC">
      <w:pPr>
        <w:pStyle w:val="Heading1"/>
      </w:pPr>
      <w:bookmarkStart w:id="1" w:name="_heading=h.lfnu9c10bvlf" w:colFirst="0" w:colLast="0"/>
      <w:bookmarkEnd w:id="1"/>
      <w:r>
        <w:t xml:space="preserve">FAMILY AND COMMUNITY LIAISON OFFICER </w:t>
      </w:r>
      <w:r w:rsidR="001704B4">
        <w:t>JOB DESCRIPTION</w:t>
      </w:r>
    </w:p>
    <w:p w14:paraId="1BCD8CFA" w14:textId="77777777" w:rsidR="00551F65" w:rsidRDefault="001704B4" w:rsidP="001778EC">
      <w:pPr>
        <w:pStyle w:val="Heading1"/>
      </w:pPr>
      <w:r>
        <w:t>Salary</w:t>
      </w:r>
    </w:p>
    <w:p w14:paraId="37A61E33" w14:textId="77777777" w:rsidR="00551F65" w:rsidRDefault="001704B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Kent Range 5</w:t>
      </w:r>
    </w:p>
    <w:p w14:paraId="7AE15A06" w14:textId="5B022545" w:rsidR="00551F65" w:rsidRDefault="000D3EBF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39 weeks per year, 5 days per week, 8.30-3.30</w:t>
      </w:r>
    </w:p>
    <w:p w14:paraId="32478DAB" w14:textId="77777777" w:rsidR="00551F65" w:rsidRDefault="001704B4" w:rsidP="001778EC">
      <w:pPr>
        <w:pStyle w:val="Heading1"/>
      </w:pPr>
      <w:r>
        <w:t>Line of response ability</w:t>
      </w:r>
    </w:p>
    <w:p w14:paraId="7E12ABC3" w14:textId="77777777" w:rsidR="00551F65" w:rsidRDefault="001704B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FLO will be report to the Senior Leadership Team.</w:t>
      </w:r>
    </w:p>
    <w:p w14:paraId="2D546575" w14:textId="77777777" w:rsidR="00551F65" w:rsidRDefault="001704B4" w:rsidP="001778EC">
      <w:pPr>
        <w:pStyle w:val="Heading1"/>
      </w:pPr>
      <w:r>
        <w:t>Job purpose</w:t>
      </w:r>
    </w:p>
    <w:p w14:paraId="19C4F8AC" w14:textId="77777777" w:rsidR="00551F65" w:rsidRDefault="001704B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engage with parents / carers and families to provide early intervention, support and guidance to increase engagement with the school and improve attendance and learning outcomes for pupils.</w:t>
      </w:r>
    </w:p>
    <w:p w14:paraId="348496AE" w14:textId="77777777" w:rsidR="00551F65" w:rsidRDefault="001704B4" w:rsidP="001778EC">
      <w:pPr>
        <w:pStyle w:val="Heading1"/>
      </w:pPr>
      <w:r>
        <w:t>Duties and responsibilities</w:t>
      </w:r>
    </w:p>
    <w:p w14:paraId="5D9573E4" w14:textId="77777777" w:rsidR="00551F65" w:rsidRDefault="001704B4">
      <w:r>
        <w:t>Main duties and responsibilities are indicated below. Other duties of an appropriate level and nature may also be required, as directed by the Head of Schools.</w:t>
      </w:r>
    </w:p>
    <w:p w14:paraId="498BD422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Establish and foster good relationships with parents/carers of children at the school and encourage good home / school communication.</w:t>
      </w:r>
    </w:p>
    <w:p w14:paraId="2A467300" w14:textId="5A4A1314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To work with parents / carers to identify why children are not achieving good attendance and assist in the implementation of measure to address this – ensuring records are kept and feedback prov</w:t>
      </w:r>
      <w:r w:rsidR="00405424">
        <w:rPr>
          <w:color w:val="000000"/>
        </w:rPr>
        <w:t>ided to the Assistant Headteacher</w:t>
      </w:r>
    </w:p>
    <w:p w14:paraId="6BB69EBD" w14:textId="76661DDA" w:rsidR="00551F65" w:rsidRDefault="004054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To work with the Headteacher and Assistant Headteacher</w:t>
      </w:r>
      <w:r w:rsidR="001704B4">
        <w:rPr>
          <w:color w:val="000000"/>
        </w:rPr>
        <w:t xml:space="preserve"> to develop action plans and undertake individual case work with families to support them in addressing issues which might be impacting on their child’s learning.</w:t>
      </w:r>
    </w:p>
    <w:p w14:paraId="57F4AD66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Encourage parental involvement in the school and its activities and deliver a range of family related activities to promote parental involvement in the school.</w:t>
      </w:r>
    </w:p>
    <w:p w14:paraId="60ACFBE4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To signpost families to sources of advice and guidance within the local community and via other agencies.</w:t>
      </w:r>
    </w:p>
    <w:p w14:paraId="674851DC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To liaise with other agencies supporting families and assist with referrals as appropriate.</w:t>
      </w:r>
    </w:p>
    <w:p w14:paraId="5C7964AC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To maintain accurate records and share information with colleagues as appropriate and refer on as required.</w:t>
      </w:r>
    </w:p>
    <w:p w14:paraId="0E0717A9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To undertake DSL training to ensure first knowledge of policy and practice.</w:t>
      </w:r>
    </w:p>
    <w:p w14:paraId="41235402" w14:textId="77777777" w:rsidR="00551F65" w:rsidRDefault="00551F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</w:pPr>
    </w:p>
    <w:p w14:paraId="035AB19D" w14:textId="77777777" w:rsidR="00551F65" w:rsidRDefault="001704B4">
      <w:pPr>
        <w:pStyle w:val="Heading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Operational</w:t>
      </w:r>
    </w:p>
    <w:p w14:paraId="495C8231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 xml:space="preserve">To act as the initial point of contact for parents regarding attendance issues - providing routine advice as required and explaining attendance expectations to parents in accordance with school policies. </w:t>
      </w:r>
    </w:p>
    <w:p w14:paraId="7CFB6771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 xml:space="preserve">To monitor the attendance of pupils in conjunction with Community Leaders, referring concerns to the Head of School. </w:t>
      </w:r>
    </w:p>
    <w:p w14:paraId="72BEF061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bookmarkStart w:id="2" w:name="_heading=h.30j0zll" w:colFirst="0" w:colLast="0"/>
      <w:bookmarkEnd w:id="2"/>
      <w:r>
        <w:rPr>
          <w:color w:val="000000"/>
        </w:rPr>
        <w:t xml:space="preserve">Hold meetings as appropriate with parents/carers and other professionals in relation to attendance and punctuality issues and to take notes and to provide follow-up administration.  </w:t>
      </w:r>
    </w:p>
    <w:p w14:paraId="2218C0F0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Ensure records are kept of meetings and follow up actions completed</w:t>
      </w:r>
    </w:p>
    <w:p w14:paraId="7FF9D088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lastRenderedPageBreak/>
        <w:t xml:space="preserve">To promote incentives for improving attendance within the school – including attendance certificates and prizes. </w:t>
      </w:r>
    </w:p>
    <w:p w14:paraId="2DC1E0FA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To process and action pupil holiday requests, in conjunction with the school office.</w:t>
      </w:r>
    </w:p>
    <w:p w14:paraId="01E09C22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 xml:space="preserve">To issue routine correspondence to parents regarding attendance / absence requests in accordance with school procedure. </w:t>
      </w:r>
    </w:p>
    <w:p w14:paraId="20D27881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 xml:space="preserve">To make referrals to the education welfare service including issuing of penalty notices. </w:t>
      </w:r>
    </w:p>
    <w:p w14:paraId="4565B087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 xml:space="preserve">To undertake routine liaison with external agencies regarding attendance,– eg EWO / Attendance Service. </w:t>
      </w:r>
    </w:p>
    <w:p w14:paraId="6931F658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Comply with policies and procedures relating to child protection, health, safety and security, confidentiality and data protection, reporting all concerns to an appropriate person.</w:t>
      </w:r>
    </w:p>
    <w:p w14:paraId="3CC47CDD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Offer support to members of staff as appropriate in carrying out home visits to students causing concern in terms of attendance and punctuality, providing parents/carers with necessary information and making appropriate referrals.</w:t>
      </w:r>
    </w:p>
    <w:p w14:paraId="58F6FD87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Provide administrative support to staff in the application of appropriate sanctions in liaison with colleagues and other professionals.</w:t>
      </w:r>
    </w:p>
    <w:p w14:paraId="16691CAE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Receive visitors/callers to the school, for example, parents/carers, professionals from outside agencies, deal with enquiries as required, observing security requirements and maintaining confidentiality.</w:t>
      </w:r>
    </w:p>
    <w:p w14:paraId="597E039F" w14:textId="77777777" w:rsidR="00551F65" w:rsidRDefault="00551F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</w:pPr>
    </w:p>
    <w:p w14:paraId="525DBE62" w14:textId="77777777" w:rsidR="00551F65" w:rsidRDefault="001704B4">
      <w:pPr>
        <w:pStyle w:val="Heading2"/>
      </w:pPr>
      <w:r>
        <w:t xml:space="preserve">Administrative </w:t>
      </w:r>
    </w:p>
    <w:p w14:paraId="715D8459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Ensure that all administrative duties, checks and documentation are completed to the required level of accuracy including returns and reports.</w:t>
      </w:r>
    </w:p>
    <w:p w14:paraId="2BAB46DD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 xml:space="preserve">To collate attendance data producing reports and prepare statistical returns regarding attendance. </w:t>
      </w:r>
    </w:p>
    <w:p w14:paraId="64CA61ED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Take minutes/notes at associated meetings and circulate information as necessary.</w:t>
      </w:r>
    </w:p>
    <w:p w14:paraId="431BB28A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Maintain record and filing systems including student files.</w:t>
      </w:r>
    </w:p>
    <w:p w14:paraId="189D3220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Deal with correspondence promptly and as required.</w:t>
      </w:r>
    </w:p>
    <w:p w14:paraId="6198AEDE" w14:textId="77777777" w:rsidR="00551F65" w:rsidRDefault="00551F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</w:pPr>
    </w:p>
    <w:p w14:paraId="39797229" w14:textId="77777777" w:rsidR="00551F65" w:rsidRDefault="001704B4">
      <w:pPr>
        <w:pStyle w:val="Heading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General </w:t>
      </w:r>
    </w:p>
    <w:p w14:paraId="18A6F8B9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Attend relevant meetings and training sessions.</w:t>
      </w:r>
    </w:p>
    <w:p w14:paraId="58A09A57" w14:textId="77777777" w:rsidR="00551F65" w:rsidRDefault="00170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8" w:hanging="284"/>
      </w:pPr>
      <w:r>
        <w:rPr>
          <w:color w:val="000000"/>
        </w:rPr>
        <w:t>Keep up-to-date with developments and changes in relevant legislation and guidance, and communicate appropriate information to colleagues.</w:t>
      </w:r>
    </w:p>
    <w:p w14:paraId="244DD0E0" w14:textId="77777777" w:rsidR="00551F65" w:rsidRDefault="001704B4">
      <w:pPr>
        <w:spacing w:after="200" w:line="276" w:lineRule="auto"/>
        <w:rPr>
          <w:b/>
          <w:sz w:val="24"/>
          <w:szCs w:val="24"/>
        </w:rPr>
      </w:pPr>
      <w:r>
        <w:br w:type="page"/>
      </w:r>
    </w:p>
    <w:p w14:paraId="5852EFF9" w14:textId="77777777" w:rsidR="00551F65" w:rsidRDefault="00551F65" w:rsidP="001778EC">
      <w:pPr>
        <w:pStyle w:val="Heading1"/>
      </w:pPr>
    </w:p>
    <w:p w14:paraId="00CD120E" w14:textId="77777777" w:rsidR="00551F65" w:rsidRDefault="00551F65" w:rsidP="001778EC">
      <w:pPr>
        <w:pStyle w:val="Heading1"/>
      </w:pPr>
    </w:p>
    <w:p w14:paraId="563A5A75" w14:textId="77777777" w:rsidR="00551F65" w:rsidRDefault="001704B4" w:rsidP="001778EC">
      <w:pPr>
        <w:pStyle w:val="Heading1"/>
      </w:pPr>
      <w:r>
        <w:t>FLO: PERSON SPECIFICATION</w:t>
      </w: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3289"/>
        <w:gridCol w:w="2098"/>
      </w:tblGrid>
      <w:tr w:rsidR="00551F65" w14:paraId="5989F2B8" w14:textId="77777777">
        <w:trPr>
          <w:trHeight w:val="466"/>
          <w:tblHeader/>
        </w:trPr>
        <w:tc>
          <w:tcPr>
            <w:tcW w:w="4786" w:type="dxa"/>
            <w:shd w:val="clear" w:color="auto" w:fill="D9D9D9"/>
          </w:tcPr>
          <w:p w14:paraId="17AD1D43" w14:textId="77777777" w:rsidR="00551F65" w:rsidRDefault="001704B4" w:rsidP="001778EC">
            <w:pPr>
              <w:pStyle w:val="Heading1"/>
              <w:outlineLvl w:val="0"/>
            </w:pPr>
            <w:r>
              <w:t xml:space="preserve">Essential </w:t>
            </w:r>
          </w:p>
        </w:tc>
        <w:tc>
          <w:tcPr>
            <w:tcW w:w="3289" w:type="dxa"/>
            <w:shd w:val="clear" w:color="auto" w:fill="D9D9D9"/>
          </w:tcPr>
          <w:p w14:paraId="674861B6" w14:textId="77777777" w:rsidR="00551F65" w:rsidRDefault="001704B4" w:rsidP="001778EC">
            <w:pPr>
              <w:pStyle w:val="Heading1"/>
              <w:outlineLvl w:val="0"/>
            </w:pPr>
            <w:r>
              <w:t>Desirable</w:t>
            </w:r>
          </w:p>
        </w:tc>
        <w:tc>
          <w:tcPr>
            <w:tcW w:w="2098" w:type="dxa"/>
            <w:shd w:val="clear" w:color="auto" w:fill="D9D9D9"/>
          </w:tcPr>
          <w:p w14:paraId="5ED9832B" w14:textId="77777777" w:rsidR="00551F65" w:rsidRDefault="001704B4" w:rsidP="001778EC">
            <w:pPr>
              <w:pStyle w:val="Heading1"/>
              <w:outlineLvl w:val="0"/>
            </w:pPr>
            <w:r>
              <w:t>Evidence</w:t>
            </w:r>
          </w:p>
        </w:tc>
      </w:tr>
      <w:tr w:rsidR="00551F65" w14:paraId="2D023BCC" w14:textId="77777777">
        <w:tc>
          <w:tcPr>
            <w:tcW w:w="10173" w:type="dxa"/>
            <w:gridSpan w:val="3"/>
          </w:tcPr>
          <w:p w14:paraId="1C315E7A" w14:textId="77777777" w:rsidR="00551F65" w:rsidRDefault="001704B4" w:rsidP="001778EC">
            <w:pPr>
              <w:pStyle w:val="Heading1"/>
              <w:outlineLvl w:val="0"/>
            </w:pPr>
            <w:r>
              <w:t>Qualifications and experience</w:t>
            </w:r>
          </w:p>
        </w:tc>
      </w:tr>
      <w:tr w:rsidR="00551F65" w14:paraId="24C649F4" w14:textId="77777777">
        <w:trPr>
          <w:trHeight w:val="2012"/>
        </w:trPr>
        <w:tc>
          <w:tcPr>
            <w:tcW w:w="4786" w:type="dxa"/>
          </w:tcPr>
          <w:p w14:paraId="49BCD3E8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Studied to a minimum standard of GCSE (grade A*–C) or equivalent, in English and mathematics.</w:t>
            </w:r>
          </w:p>
          <w:p w14:paraId="6C1A3A1A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Experience of working with children/young people.</w:t>
            </w:r>
          </w:p>
          <w:p w14:paraId="4533FAF2" w14:textId="77777777" w:rsidR="00551F65" w:rsidRDefault="0055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</w:pPr>
          </w:p>
        </w:tc>
        <w:tc>
          <w:tcPr>
            <w:tcW w:w="3289" w:type="dxa"/>
          </w:tcPr>
          <w:p w14:paraId="762EE75C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61" w:hanging="284"/>
            </w:pPr>
            <w:r>
              <w:rPr>
                <w:color w:val="000000"/>
              </w:rPr>
              <w:t>Further education qualifications relevant in field.</w:t>
            </w:r>
          </w:p>
          <w:p w14:paraId="006E9F46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61" w:hanging="284"/>
            </w:pPr>
            <w:r>
              <w:rPr>
                <w:color w:val="000000"/>
              </w:rPr>
              <w:t>Experience of working in a school or similar establishment.</w:t>
            </w:r>
          </w:p>
          <w:p w14:paraId="2EE0F4CE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61" w:hanging="284"/>
            </w:pPr>
            <w:r>
              <w:rPr>
                <w:color w:val="000000"/>
              </w:rPr>
              <w:t>Experience of making contact and dealing with external agencies.</w:t>
            </w:r>
          </w:p>
        </w:tc>
        <w:tc>
          <w:tcPr>
            <w:tcW w:w="2098" w:type="dxa"/>
          </w:tcPr>
          <w:p w14:paraId="071C5B68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Application form</w:t>
            </w:r>
          </w:p>
          <w:p w14:paraId="65EB5838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Letter of application</w:t>
            </w:r>
          </w:p>
          <w:p w14:paraId="10A43DB7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References</w:t>
            </w:r>
          </w:p>
          <w:p w14:paraId="07E05DB7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Interviews</w:t>
            </w:r>
          </w:p>
          <w:p w14:paraId="4577ECDA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 xml:space="preserve">Certificate(s) </w:t>
            </w:r>
          </w:p>
        </w:tc>
      </w:tr>
      <w:tr w:rsidR="00551F65" w14:paraId="08F37AEF" w14:textId="77777777">
        <w:tc>
          <w:tcPr>
            <w:tcW w:w="10173" w:type="dxa"/>
            <w:gridSpan w:val="3"/>
          </w:tcPr>
          <w:p w14:paraId="660FD88D" w14:textId="77777777" w:rsidR="00551F65" w:rsidRDefault="001704B4" w:rsidP="001778EC">
            <w:pPr>
              <w:pStyle w:val="Heading1"/>
              <w:outlineLvl w:val="0"/>
            </w:pPr>
            <w:r>
              <w:t>Knowledge and skills</w:t>
            </w:r>
          </w:p>
        </w:tc>
      </w:tr>
      <w:tr w:rsidR="00551F65" w14:paraId="0392272C" w14:textId="77777777">
        <w:tc>
          <w:tcPr>
            <w:tcW w:w="4786" w:type="dxa"/>
          </w:tcPr>
          <w:p w14:paraId="7FBFD0E7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Verbal and written communication skills appropriate to the need to communicate effectively with colleagues, parents/carers, students and other professionals.</w:t>
            </w:r>
          </w:p>
          <w:p w14:paraId="7CBE22F4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Good standard of numeracy and literacy skills.</w:t>
            </w:r>
          </w:p>
          <w:p w14:paraId="254FE05B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Ability to proficiently use office computer software including word-processing, spreadsheet, database and internet systems.</w:t>
            </w:r>
          </w:p>
          <w:p w14:paraId="045EC453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Ability to build and form good relationships with students, parents/carers, colleagues and external agencies, including social workers and the police.</w:t>
            </w:r>
          </w:p>
          <w:p w14:paraId="429E5FA5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Ability to work constructively as part of a team, understanding school roles and responsibilities including own.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Ability to absorb and understand a wide range of information and deal with confidential issues appropriately.</w:t>
            </w:r>
          </w:p>
        </w:tc>
        <w:tc>
          <w:tcPr>
            <w:tcW w:w="3289" w:type="dxa"/>
          </w:tcPr>
          <w:p w14:paraId="50C81F52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61" w:hanging="284"/>
            </w:pPr>
            <w:r>
              <w:rPr>
                <w:color w:val="000000"/>
              </w:rPr>
              <w:t>Experience in the use of Arbour</w:t>
            </w:r>
          </w:p>
          <w:p w14:paraId="28667996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61" w:hanging="284"/>
            </w:pPr>
            <w:r>
              <w:rPr>
                <w:color w:val="000000"/>
              </w:rPr>
              <w:t>Working knowledge of relevant policies, procedures, codes of practice, and awareness of relevant legislation.</w:t>
            </w:r>
          </w:p>
        </w:tc>
        <w:tc>
          <w:tcPr>
            <w:tcW w:w="2098" w:type="dxa"/>
          </w:tcPr>
          <w:p w14:paraId="7E533F70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Application form</w:t>
            </w:r>
          </w:p>
          <w:p w14:paraId="5AB5A49F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Letter of application</w:t>
            </w:r>
          </w:p>
          <w:p w14:paraId="05794833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References</w:t>
            </w:r>
          </w:p>
          <w:p w14:paraId="18D3773D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Interviews</w:t>
            </w:r>
          </w:p>
        </w:tc>
      </w:tr>
      <w:tr w:rsidR="00551F65" w14:paraId="1941DBE6" w14:textId="77777777">
        <w:tc>
          <w:tcPr>
            <w:tcW w:w="10173" w:type="dxa"/>
            <w:gridSpan w:val="3"/>
          </w:tcPr>
          <w:p w14:paraId="18F56574" w14:textId="77777777" w:rsidR="00551F65" w:rsidRDefault="001704B4" w:rsidP="001778EC">
            <w:pPr>
              <w:pStyle w:val="Heading1"/>
              <w:outlineLvl w:val="0"/>
            </w:pPr>
            <w:r>
              <w:t>Personal qualities</w:t>
            </w:r>
          </w:p>
        </w:tc>
      </w:tr>
      <w:tr w:rsidR="00551F65" w14:paraId="2387EA8E" w14:textId="77777777">
        <w:tc>
          <w:tcPr>
            <w:tcW w:w="4786" w:type="dxa"/>
          </w:tcPr>
          <w:p w14:paraId="0E9DC858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Initiative and ability to prioritise own work.</w:t>
            </w:r>
          </w:p>
          <w:p w14:paraId="561B9DE0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Able to follow direction and work in collaboration with the line manager.</w:t>
            </w:r>
          </w:p>
          <w:p w14:paraId="7C848645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Able to work flexibly to meet deadlines and respond to unplanned situations.</w:t>
            </w:r>
          </w:p>
          <w:p w14:paraId="031FF47D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Efficient and meticulous in organisation.</w:t>
            </w:r>
          </w:p>
          <w:p w14:paraId="7BF316C7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Desire to enhance and develop skills and knowledge through CPD.</w:t>
            </w:r>
          </w:p>
          <w:p w14:paraId="37BDD96A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Commitment to the highest standards of child protection and safeguarding.</w:t>
            </w:r>
          </w:p>
          <w:p w14:paraId="094A9180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Recognition of the importance of personal responsibility for health and safety.</w:t>
            </w:r>
          </w:p>
          <w:p w14:paraId="0CBC94C0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4" w:hanging="284"/>
            </w:pPr>
            <w:r>
              <w:rPr>
                <w:color w:val="000000"/>
              </w:rPr>
              <w:t>Commitment to the school’s ethos, aims and its whole community.</w:t>
            </w:r>
          </w:p>
        </w:tc>
        <w:tc>
          <w:tcPr>
            <w:tcW w:w="3289" w:type="dxa"/>
          </w:tcPr>
          <w:p w14:paraId="39A33489" w14:textId="77777777" w:rsidR="00551F65" w:rsidRDefault="0055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568" w:hanging="360"/>
              <w:rPr>
                <w:color w:val="000000"/>
              </w:rPr>
            </w:pPr>
          </w:p>
        </w:tc>
        <w:tc>
          <w:tcPr>
            <w:tcW w:w="2098" w:type="dxa"/>
          </w:tcPr>
          <w:p w14:paraId="45233ABE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Application form</w:t>
            </w:r>
          </w:p>
          <w:p w14:paraId="73917618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Letter of application</w:t>
            </w:r>
          </w:p>
          <w:p w14:paraId="2E6C6637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References</w:t>
            </w:r>
          </w:p>
          <w:p w14:paraId="0F9A0A40" w14:textId="77777777" w:rsidR="00551F65" w:rsidRDefault="00170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84"/>
            </w:pPr>
            <w:r>
              <w:rPr>
                <w:color w:val="000000"/>
              </w:rPr>
              <w:t>Interviews</w:t>
            </w:r>
          </w:p>
        </w:tc>
      </w:tr>
    </w:tbl>
    <w:p w14:paraId="303E10FE" w14:textId="77777777" w:rsidR="00551F65" w:rsidRDefault="00551F65"/>
    <w:sectPr w:rsidR="00551F65">
      <w:headerReference w:type="default" r:id="rId12"/>
      <w:footerReference w:type="default" r:id="rId13"/>
      <w:pgSz w:w="11906" w:h="16838"/>
      <w:pgMar w:top="851" w:right="1134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AD11" w14:textId="77777777" w:rsidR="00BD3706" w:rsidRDefault="00BD3706">
      <w:pPr>
        <w:spacing w:after="0" w:line="240" w:lineRule="auto"/>
      </w:pPr>
      <w:r>
        <w:separator/>
      </w:r>
    </w:p>
  </w:endnote>
  <w:endnote w:type="continuationSeparator" w:id="0">
    <w:p w14:paraId="5C757696" w14:textId="77777777" w:rsidR="00BD3706" w:rsidRDefault="00BD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6288" w14:textId="0BF0FD8B" w:rsidR="008102C6" w:rsidRDefault="008102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Sept2022</w:t>
    </w:r>
    <w:r>
      <w:rPr>
        <w:color w:val="000000"/>
        <w:sz w:val="16"/>
        <w:szCs w:val="16"/>
      </w:rPr>
      <w:tab/>
      <w:t>FLO Job Description</w:t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4E0078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3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614499E" wp14:editId="435907E4">
          <wp:simplePos x="0" y="0"/>
          <wp:positionH relativeFrom="column">
            <wp:posOffset>228600</wp:posOffset>
          </wp:positionH>
          <wp:positionV relativeFrom="paragraph">
            <wp:posOffset>545147</wp:posOffset>
          </wp:positionV>
          <wp:extent cx="761047" cy="649129"/>
          <wp:effectExtent l="0" t="0" r="0" b="0"/>
          <wp:wrapSquare wrapText="bothSides" distT="0" distB="0" distL="114300" distR="114300"/>
          <wp:docPr id="6" name="image2.jpg" descr="\\Server01\lloyda$\Documents\My Pictures\Grove Par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Server01\lloyda$\Documents\My Pictures\Grove Park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" cy="649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AEB1" w14:textId="77777777" w:rsidR="00BD3706" w:rsidRDefault="00BD3706">
      <w:pPr>
        <w:spacing w:after="0" w:line="240" w:lineRule="auto"/>
      </w:pPr>
      <w:r>
        <w:separator/>
      </w:r>
    </w:p>
  </w:footnote>
  <w:footnote w:type="continuationSeparator" w:id="0">
    <w:p w14:paraId="33EF9BCF" w14:textId="77777777" w:rsidR="00BD3706" w:rsidRDefault="00BD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BF57" w14:textId="39123EC9" w:rsidR="008102C6" w:rsidRDefault="008102C6"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A4B49F" wp14:editId="24B1FC2C">
          <wp:simplePos x="0" y="0"/>
          <wp:positionH relativeFrom="column">
            <wp:posOffset>3965900</wp:posOffset>
          </wp:positionH>
          <wp:positionV relativeFrom="paragraph">
            <wp:posOffset>0</wp:posOffset>
          </wp:positionV>
          <wp:extent cx="2268220" cy="43307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8220" cy="433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364"/>
    <w:multiLevelType w:val="multilevel"/>
    <w:tmpl w:val="98F4789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58963981"/>
    <w:multiLevelType w:val="multilevel"/>
    <w:tmpl w:val="A9CEF4DE"/>
    <w:lvl w:ilvl="0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2793190">
    <w:abstractNumId w:val="0"/>
  </w:num>
  <w:num w:numId="2" w16cid:durableId="157916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65"/>
    <w:rsid w:val="000D3EBF"/>
    <w:rsid w:val="001704B4"/>
    <w:rsid w:val="001778EC"/>
    <w:rsid w:val="001B35C7"/>
    <w:rsid w:val="00270AB9"/>
    <w:rsid w:val="00405424"/>
    <w:rsid w:val="004A3621"/>
    <w:rsid w:val="004E0078"/>
    <w:rsid w:val="00551F65"/>
    <w:rsid w:val="008102C6"/>
    <w:rsid w:val="00851182"/>
    <w:rsid w:val="00BD3706"/>
    <w:rsid w:val="00EA1D82"/>
    <w:rsid w:val="00F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6461"/>
  <w15:docId w15:val="{0AB42C59-BD53-47C7-9E2E-4A810B6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240"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F4"/>
    <w:pPr>
      <w:spacing w:line="280" w:lineRule="exact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1778EC"/>
    <w:pPr>
      <w:keepNext/>
      <w:keepLines/>
      <w:spacing w:before="120" w:after="60" w:line="320" w:lineRule="exact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544D98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autoRedefine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78EC"/>
    <w:rPr>
      <w:rFonts w:eastAsiaTheme="majorEastAsia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44D98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2"/>
      </w:numPr>
    </w:pPr>
  </w:style>
  <w:style w:type="paragraph" w:customStyle="1" w:styleId="Bullet2">
    <w:name w:val="Bullet 2"/>
    <w:basedOn w:val="Normal"/>
    <w:link w:val="Bullet2Char"/>
    <w:qFormat/>
    <w:rsid w:val="00FA7350"/>
    <w:pPr>
      <w:tabs>
        <w:tab w:val="num" w:pos="720"/>
      </w:tabs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F2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E7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E7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E71DF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Indent">
    <w:name w:val="Indent"/>
    <w:basedOn w:val="Normal"/>
    <w:rsid w:val="00FF6AAB"/>
    <w:pPr>
      <w:tabs>
        <w:tab w:val="num" w:pos="709"/>
      </w:tabs>
      <w:spacing w:after="180" w:line="240" w:lineRule="auto"/>
      <w:ind w:left="709" w:hanging="709"/>
    </w:pPr>
    <w:rPr>
      <w:rFonts w:ascii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F6AAB"/>
    <w:pPr>
      <w:spacing w:after="120" w:line="276" w:lineRule="auto"/>
    </w:pPr>
    <w:rPr>
      <w:rFonts w:ascii="Trebuchet MS" w:eastAsiaTheme="minorHAnsi" w:hAnsi="Trebuchet MS" w:cstheme="minorBid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F6AAB"/>
    <w:rPr>
      <w:rFonts w:ascii="Trebuchet MS" w:hAnsi="Trebuchet MS"/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68446b-f1db-48c8-9307-e6ae57110a6d">
      <Terms xmlns="http://schemas.microsoft.com/office/infopath/2007/PartnerControls"/>
    </lcf76f155ced4ddcb4097134ff3c332f>
    <TaxCatchAll xmlns="8d3b3e5f-5f90-4131-80fe-b7de63928b7a" xsi:nil="true"/>
    <_dlc_DocId xmlns="8d3b3e5f-5f90-4131-80fe-b7de63928b7a">ZY3XMHKX4JTP-2008157497-30425</_dlc_DocId>
    <_dlc_DocIdUrl xmlns="8d3b3e5f-5f90-4131-80fe-b7de63928b7a">
      <Url>https://bournemat.sharepoint.com/sites/CentralTeamHR/_layouts/15/DocIdRedir.aspx?ID=ZY3XMHKX4JTP-2008157497-30425</Url>
      <Description>ZY3XMHKX4JTP-2008157497-30425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3D59FC86DF64CBF4CB17555C4DBDF" ma:contentTypeVersion="15" ma:contentTypeDescription="Create a new document." ma:contentTypeScope="" ma:versionID="5dfb0ed227dd3931eb7118c07762b67b">
  <xsd:schema xmlns:xsd="http://www.w3.org/2001/XMLSchema" xmlns:xs="http://www.w3.org/2001/XMLSchema" xmlns:p="http://schemas.microsoft.com/office/2006/metadata/properties" xmlns:ns2="8d3b3e5f-5f90-4131-80fe-b7de63928b7a" xmlns:ns3="3b68446b-f1db-48c8-9307-e6ae57110a6d" targetNamespace="http://schemas.microsoft.com/office/2006/metadata/properties" ma:root="true" ma:fieldsID="0adfc4305ffe8a2b8b1f0dc35608b28a" ns2:_="" ns3:_="">
    <xsd:import namespace="8d3b3e5f-5f90-4131-80fe-b7de63928b7a"/>
    <xsd:import namespace="3b68446b-f1db-48c8-9307-e6ae57110a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3e5f-5f90-4131-80fe-b7de63928b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f82aa9eb-fc80-44cf-91ba-b2d9a649dd6b}" ma:internalName="TaxCatchAll" ma:showField="CatchAllData" ma:web="8d3b3e5f-5f90-4131-80fe-b7de63928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8446b-f1db-48c8-9307-e6ae57110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283d8d4-59e5-4ce4-9a83-3f14d8695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fVXSVfkapwBq3YBTELw0j/q9HQ==">AMUW2mWMFZCpkosym736DcIb5qC8siTozqbMyfCbUlZvA+alHlr52T7BEpmFMqTC8Nb7rJxcKVhJQvhAn+SB+QswzhuogjSK3WUvVfArHQCumO0/npeUjsksVGEt4Y3j6wOhj32yx+r+CQI5oA+/CwwNbwJNAmDoWg==</go:docsCustomData>
</go:gDocsCustomXmlDataStorage>
</file>

<file path=customXml/itemProps1.xml><?xml version="1.0" encoding="utf-8"?>
<ds:datastoreItem xmlns:ds="http://schemas.openxmlformats.org/officeDocument/2006/customXml" ds:itemID="{989A358B-6C11-4DB8-A75A-A26C54D1A460}">
  <ds:schemaRefs>
    <ds:schemaRef ds:uri="http://schemas.microsoft.com/office/2006/metadata/properties"/>
    <ds:schemaRef ds:uri="http://schemas.microsoft.com/office/infopath/2007/PartnerControls"/>
    <ds:schemaRef ds:uri="3b68446b-f1db-48c8-9307-e6ae57110a6d"/>
    <ds:schemaRef ds:uri="8d3b3e5f-5f90-4131-80fe-b7de63928b7a"/>
  </ds:schemaRefs>
</ds:datastoreItem>
</file>

<file path=customXml/itemProps2.xml><?xml version="1.0" encoding="utf-8"?>
<ds:datastoreItem xmlns:ds="http://schemas.openxmlformats.org/officeDocument/2006/customXml" ds:itemID="{43BA62C6-DDF9-4FC2-9F2A-78C844867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D971A-9285-473B-8322-9AB4C5EA8A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7EBBEE-94FD-441F-B93C-0DE3041D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b3e5f-5f90-4131-80fe-b7de63928b7a"/>
    <ds:schemaRef ds:uri="3b68446b-f1db-48c8-9307-e6ae57110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Grove Park Academies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CEFMi</dc:creator>
  <cp:lastModifiedBy>Sam Osborn</cp:lastModifiedBy>
  <cp:revision>4</cp:revision>
  <dcterms:created xsi:type="dcterms:W3CDTF">2023-05-24T10:43:00Z</dcterms:created>
  <dcterms:modified xsi:type="dcterms:W3CDTF">2023-05-24T11:34:00Z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0x010100C193D59FC86DF64CBF4CB17555C4DBDF</vt:lpwstr>
  </property>
  <property fmtid="{D5CDD505-2E9C-101B-9397-08002B2CF9AE}" pid="3" name="_dlc_DocIdItemGuid">
    <vt:lpwstr>618e21d0-cff5-4730-9c69-d5f152a49978</vt:lpwstr>
  </property>
  <property fmtid="{D5CDD505-2E9C-101B-9397-08002B2CF9AE}" pid="4" name="MediaServiceImageTags">
    <vt:lpwstr/>
  </property>
</Properties>
</file>