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33E" w:rsidRDefault="00CE7DE2" w:rsidP="00BE43D5">
      <w:pPr>
        <w:rPr>
          <w:rFonts w:cs="Arial"/>
          <w:b/>
        </w:rPr>
      </w:pPr>
      <w:bookmarkStart w:id="0" w:name="_GoBack"/>
      <w:bookmarkEnd w:id="0"/>
      <w:r>
        <w:rPr>
          <w:noProof/>
          <w:lang w:eastAsia="en-GB"/>
        </w:rPr>
        <w:drawing>
          <wp:anchor distT="0" distB="0" distL="114300" distR="114300" simplePos="0" relativeHeight="251659264" behindDoc="1" locked="0" layoutInCell="1" allowOverlap="1">
            <wp:simplePos x="0" y="0"/>
            <wp:positionH relativeFrom="column">
              <wp:posOffset>-695325</wp:posOffset>
            </wp:positionH>
            <wp:positionV relativeFrom="paragraph">
              <wp:posOffset>-543560</wp:posOffset>
            </wp:positionV>
            <wp:extent cx="2381250" cy="2409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33E" w:rsidRDefault="00CB733E" w:rsidP="00BE43D5">
      <w:pPr>
        <w:rPr>
          <w:rFonts w:cs="Arial"/>
          <w:b/>
        </w:rPr>
      </w:pPr>
    </w:p>
    <w:p w:rsidR="00CB733E" w:rsidRDefault="00CB733E" w:rsidP="00BE43D5">
      <w:pPr>
        <w:rPr>
          <w:rFonts w:cs="Arial"/>
          <w:b/>
        </w:rPr>
      </w:pPr>
    </w:p>
    <w:p w:rsidR="00CB733E" w:rsidRDefault="00CB733E" w:rsidP="00BE43D5">
      <w:pPr>
        <w:rPr>
          <w:rFonts w:cs="Arial"/>
          <w:b/>
        </w:rPr>
      </w:pPr>
    </w:p>
    <w:p w:rsidR="00CB733E" w:rsidRDefault="00CB733E" w:rsidP="00BE43D5">
      <w:pPr>
        <w:rPr>
          <w:rFonts w:cs="Arial"/>
          <w:b/>
        </w:rPr>
      </w:pPr>
    </w:p>
    <w:p w:rsidR="00CB733E" w:rsidRDefault="00CB733E" w:rsidP="00BE43D5">
      <w:pPr>
        <w:rPr>
          <w:rFonts w:cs="Arial"/>
          <w:b/>
        </w:rPr>
      </w:pPr>
    </w:p>
    <w:p w:rsidR="00CB733E" w:rsidRDefault="00CB733E" w:rsidP="00BE43D5">
      <w:pPr>
        <w:rPr>
          <w:rFonts w:cs="Arial"/>
          <w:b/>
        </w:rPr>
      </w:pPr>
    </w:p>
    <w:p w:rsidR="00CB733E" w:rsidRDefault="00CB733E" w:rsidP="00BE43D5">
      <w:pPr>
        <w:rPr>
          <w:rFonts w:cs="Arial"/>
          <w:b/>
        </w:rPr>
      </w:pPr>
    </w:p>
    <w:p w:rsidR="00F61767" w:rsidRDefault="00F61767" w:rsidP="00BE43D5">
      <w:pPr>
        <w:rPr>
          <w:rFonts w:cs="Arial"/>
          <w:b/>
        </w:rPr>
      </w:pPr>
    </w:p>
    <w:p w:rsidR="00F61767" w:rsidRDefault="00F61767" w:rsidP="00BE43D5">
      <w:pPr>
        <w:rPr>
          <w:rFonts w:cs="Arial"/>
          <w:b/>
        </w:rPr>
      </w:pPr>
    </w:p>
    <w:p w:rsidR="00F61767" w:rsidRDefault="00F61767" w:rsidP="00BE43D5">
      <w:pPr>
        <w:rPr>
          <w:rFonts w:cs="Arial"/>
          <w:b/>
        </w:rPr>
      </w:pPr>
    </w:p>
    <w:p w:rsidR="00F61767" w:rsidRDefault="00F61767" w:rsidP="00BE43D5">
      <w:pPr>
        <w:rPr>
          <w:rFonts w:cs="Arial"/>
          <w:b/>
        </w:rPr>
      </w:pPr>
    </w:p>
    <w:p w:rsidR="00F61767" w:rsidRDefault="00F61767" w:rsidP="00BE43D5">
      <w:pPr>
        <w:rPr>
          <w:rFonts w:cs="Arial"/>
          <w:b/>
        </w:rPr>
      </w:pPr>
    </w:p>
    <w:p w:rsidR="00CB733E" w:rsidRDefault="00CB733E" w:rsidP="00CB733E">
      <w:pPr>
        <w:jc w:val="center"/>
        <w:rPr>
          <w:rFonts w:cs="Arial"/>
          <w:b/>
          <w:sz w:val="36"/>
        </w:rPr>
      </w:pPr>
    </w:p>
    <w:p w:rsidR="00F61767" w:rsidRPr="00F61767" w:rsidRDefault="00CB733E" w:rsidP="00CB733E">
      <w:pPr>
        <w:jc w:val="center"/>
        <w:rPr>
          <w:rFonts w:cs="Arial"/>
          <w:b/>
          <w:sz w:val="96"/>
        </w:rPr>
      </w:pPr>
      <w:r w:rsidRPr="00F61767">
        <w:rPr>
          <w:rFonts w:cs="Arial"/>
          <w:b/>
          <w:sz w:val="96"/>
        </w:rPr>
        <w:t>Priory Infant</w:t>
      </w:r>
      <w:r w:rsidR="00BE43D5" w:rsidRPr="00F61767">
        <w:rPr>
          <w:rFonts w:cs="Arial"/>
          <w:b/>
          <w:sz w:val="96"/>
        </w:rPr>
        <w:t xml:space="preserve"> School </w:t>
      </w:r>
    </w:p>
    <w:p w:rsidR="00F61767" w:rsidRPr="00F61767" w:rsidRDefault="00F61767" w:rsidP="00CB733E">
      <w:pPr>
        <w:jc w:val="center"/>
        <w:rPr>
          <w:rFonts w:cs="Arial"/>
          <w:b/>
          <w:sz w:val="96"/>
        </w:rPr>
      </w:pPr>
    </w:p>
    <w:p w:rsidR="00BE43D5" w:rsidRPr="003F1F54" w:rsidRDefault="003F1F54" w:rsidP="00CB733E">
      <w:pPr>
        <w:jc w:val="center"/>
        <w:rPr>
          <w:rFonts w:cs="Arial"/>
          <w:b/>
          <w:sz w:val="56"/>
        </w:rPr>
      </w:pPr>
      <w:r w:rsidRPr="003F1F54">
        <w:rPr>
          <w:rFonts w:cs="Arial"/>
          <w:b/>
          <w:sz w:val="56"/>
        </w:rPr>
        <w:t>Recruitment of Ex-Offenders</w:t>
      </w:r>
      <w:r w:rsidR="00BE43D5" w:rsidRPr="003F1F54">
        <w:rPr>
          <w:rFonts w:cs="Arial"/>
          <w:b/>
          <w:sz w:val="56"/>
        </w:rPr>
        <w:t xml:space="preserve"> Policy</w:t>
      </w:r>
    </w:p>
    <w:p w:rsidR="00F61767" w:rsidRDefault="00F61767" w:rsidP="00CB733E">
      <w:pPr>
        <w:jc w:val="center"/>
        <w:rPr>
          <w:rFonts w:cs="Arial"/>
          <w:b/>
          <w:sz w:val="44"/>
        </w:rPr>
      </w:pPr>
    </w:p>
    <w:p w:rsidR="00F61767" w:rsidRDefault="00F61767" w:rsidP="00CB733E">
      <w:pPr>
        <w:jc w:val="center"/>
        <w:rPr>
          <w:rFonts w:cs="Arial"/>
          <w:b/>
          <w:sz w:val="44"/>
        </w:rPr>
      </w:pPr>
    </w:p>
    <w:p w:rsidR="00F61767" w:rsidRDefault="00F61767" w:rsidP="00CB733E">
      <w:pPr>
        <w:jc w:val="center"/>
        <w:rPr>
          <w:rFonts w:cs="Arial"/>
          <w:b/>
          <w:sz w:val="44"/>
        </w:rPr>
      </w:pPr>
    </w:p>
    <w:p w:rsidR="00F61767" w:rsidRDefault="003F1F54" w:rsidP="00CB733E">
      <w:pPr>
        <w:jc w:val="center"/>
        <w:rPr>
          <w:rFonts w:cs="Arial"/>
          <w:b/>
          <w:sz w:val="44"/>
        </w:rPr>
      </w:pPr>
      <w:r>
        <w:rPr>
          <w:rFonts w:cs="Arial"/>
          <w:b/>
          <w:sz w:val="44"/>
        </w:rPr>
        <w:t>Based on Model Policy from Disclosure and Barring Service</w:t>
      </w:r>
    </w:p>
    <w:p w:rsidR="00F61767" w:rsidRDefault="00F61767" w:rsidP="00CB733E">
      <w:pPr>
        <w:jc w:val="center"/>
        <w:rPr>
          <w:rFonts w:cs="Arial"/>
          <w:b/>
          <w:sz w:val="44"/>
        </w:rPr>
      </w:pPr>
    </w:p>
    <w:p w:rsidR="00F61767" w:rsidRDefault="00F61767" w:rsidP="00CB733E">
      <w:pPr>
        <w:jc w:val="center"/>
        <w:rPr>
          <w:rFonts w:cs="Arial"/>
          <w:b/>
          <w:sz w:val="44"/>
        </w:rPr>
      </w:pPr>
    </w:p>
    <w:p w:rsidR="00F61767" w:rsidRDefault="00F61767" w:rsidP="00CB733E">
      <w:pPr>
        <w:jc w:val="center"/>
        <w:rPr>
          <w:rFonts w:cs="Arial"/>
          <w:b/>
          <w:sz w:val="44"/>
        </w:rPr>
      </w:pPr>
    </w:p>
    <w:p w:rsidR="00F61767" w:rsidRDefault="00F61767" w:rsidP="00CB733E">
      <w:pPr>
        <w:jc w:val="center"/>
        <w:rPr>
          <w:rFonts w:cs="Arial"/>
          <w:b/>
          <w:sz w:val="44"/>
        </w:rPr>
      </w:pPr>
    </w:p>
    <w:p w:rsidR="00F61767" w:rsidRDefault="00F61767" w:rsidP="00F61767">
      <w:pPr>
        <w:rPr>
          <w:rFonts w:cs="Arial"/>
        </w:rPr>
      </w:pPr>
      <w:r w:rsidRPr="00F61767">
        <w:rPr>
          <w:rFonts w:cs="Arial"/>
        </w:rPr>
        <w:t>Written: November 2021</w:t>
      </w:r>
    </w:p>
    <w:p w:rsidR="00F61767" w:rsidRPr="00F61767" w:rsidRDefault="00F61767" w:rsidP="00F61767">
      <w:pPr>
        <w:rPr>
          <w:rFonts w:cs="Arial"/>
        </w:rPr>
      </w:pPr>
    </w:p>
    <w:p w:rsidR="00F61767" w:rsidRPr="00BE43D5" w:rsidRDefault="00F61767" w:rsidP="00F61767">
      <w:pPr>
        <w:rPr>
          <w:rFonts w:cs="Arial"/>
        </w:rPr>
      </w:pPr>
      <w:r>
        <w:rPr>
          <w:rFonts w:cs="Arial"/>
        </w:rPr>
        <w:t>A</w:t>
      </w:r>
      <w:r w:rsidRPr="00BE43D5">
        <w:rPr>
          <w:rFonts w:cs="Arial"/>
        </w:rPr>
        <w:t>dopted by the Governing Body</w:t>
      </w:r>
      <w:r>
        <w:rPr>
          <w:rFonts w:cs="Arial"/>
        </w:rPr>
        <w:t xml:space="preserve">: </w:t>
      </w:r>
      <w:r w:rsidR="00E94CFA">
        <w:rPr>
          <w:rFonts w:cs="Arial"/>
        </w:rPr>
        <w:t>01/12</w:t>
      </w:r>
      <w:r>
        <w:rPr>
          <w:rFonts w:cs="Arial"/>
        </w:rPr>
        <w:t>/21</w:t>
      </w:r>
    </w:p>
    <w:p w:rsidR="00F61767" w:rsidRPr="00BE43D5" w:rsidRDefault="00F61767" w:rsidP="00F61767">
      <w:pPr>
        <w:rPr>
          <w:rFonts w:cs="Arial"/>
        </w:rPr>
      </w:pPr>
    </w:p>
    <w:p w:rsidR="00F61767" w:rsidRPr="00BE43D5" w:rsidRDefault="00F61767" w:rsidP="00F61767">
      <w:pPr>
        <w:rPr>
          <w:rFonts w:cs="Arial"/>
          <w:b/>
        </w:rPr>
      </w:pPr>
      <w:r>
        <w:rPr>
          <w:rFonts w:cs="Arial"/>
        </w:rPr>
        <w:t>To</w:t>
      </w:r>
      <w:r w:rsidRPr="00BE43D5">
        <w:rPr>
          <w:rFonts w:cs="Arial"/>
        </w:rPr>
        <w:t xml:space="preserve"> be reviewed</w:t>
      </w:r>
      <w:r>
        <w:rPr>
          <w:rFonts w:cs="Arial"/>
        </w:rPr>
        <w:t>:</w:t>
      </w:r>
      <w:r w:rsidRPr="00BE43D5">
        <w:rPr>
          <w:rFonts w:cs="Arial"/>
        </w:rPr>
        <w:t xml:space="preserve"> </w:t>
      </w:r>
      <w:r>
        <w:rPr>
          <w:rFonts w:cs="Arial"/>
        </w:rPr>
        <w:t>November 202</w:t>
      </w:r>
      <w:r w:rsidR="00532D0D">
        <w:rPr>
          <w:rFonts w:cs="Arial"/>
        </w:rPr>
        <w:t>2 (or sooner if legislation changes)</w:t>
      </w:r>
    </w:p>
    <w:p w:rsidR="00F61767" w:rsidRDefault="00F61767" w:rsidP="00CB733E">
      <w:pPr>
        <w:jc w:val="center"/>
        <w:rPr>
          <w:rFonts w:cs="Arial"/>
          <w:b/>
          <w:sz w:val="44"/>
        </w:rPr>
      </w:pPr>
    </w:p>
    <w:p w:rsidR="003F1F54" w:rsidRDefault="003F1F54" w:rsidP="00CB733E">
      <w:pPr>
        <w:jc w:val="center"/>
        <w:rPr>
          <w:rFonts w:cs="Arial"/>
          <w:b/>
          <w:sz w:val="44"/>
        </w:rPr>
      </w:pPr>
    </w:p>
    <w:p w:rsidR="003F1F54" w:rsidRDefault="003F1F54" w:rsidP="00CB733E">
      <w:pPr>
        <w:jc w:val="center"/>
        <w:rPr>
          <w:rFonts w:cs="Arial"/>
          <w:b/>
          <w:sz w:val="44"/>
        </w:rPr>
      </w:pPr>
    </w:p>
    <w:p w:rsidR="00532D0D" w:rsidRP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lastRenderedPageBreak/>
        <w:t>Introduction</w:t>
      </w:r>
    </w:p>
    <w:p w:rsidR="00532D0D" w:rsidRPr="00532D0D" w:rsidRDefault="00532D0D" w:rsidP="00532D0D">
      <w:pPr>
        <w:shd w:val="clear" w:color="auto" w:fill="FFFFFF"/>
        <w:spacing w:before="300" w:after="300"/>
        <w:rPr>
          <w:rFonts w:cs="Arial"/>
          <w:color w:val="0B0C0C"/>
          <w:sz w:val="29"/>
          <w:szCs w:val="29"/>
          <w:lang w:eastAsia="en-GB"/>
        </w:rPr>
      </w:pPr>
      <w:r w:rsidRPr="00532D0D">
        <w:rPr>
          <w:rFonts w:cs="Arial"/>
          <w:color w:val="0B0C0C"/>
          <w:sz w:val="29"/>
          <w:szCs w:val="29"/>
          <w:lang w:eastAsia="en-GB"/>
        </w:rPr>
        <w:t>The </w:t>
      </w:r>
      <w:hyperlink r:id="rId8" w:history="1">
        <w:r w:rsidRPr="00532D0D">
          <w:rPr>
            <w:rFonts w:cs="Arial"/>
            <w:color w:val="1D70B8"/>
            <w:sz w:val="29"/>
            <w:szCs w:val="29"/>
            <w:u w:val="single"/>
            <w:lang w:eastAsia="en-GB"/>
          </w:rPr>
          <w:t>code of practice</w:t>
        </w:r>
      </w:hyperlink>
      <w:r w:rsidRPr="00532D0D">
        <w:rPr>
          <w:rFonts w:cs="Arial"/>
          <w:color w:val="0B0C0C"/>
          <w:sz w:val="29"/>
          <w:szCs w:val="29"/>
          <w:lang w:eastAsia="en-GB"/>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532D0D" w:rsidRDefault="00532D0D" w:rsidP="00532D0D">
      <w:pPr>
        <w:shd w:val="clear" w:color="auto" w:fill="FFFFFF"/>
        <w:spacing w:before="300" w:after="300"/>
        <w:rPr>
          <w:rFonts w:cs="Arial"/>
          <w:color w:val="0B0C0C"/>
          <w:sz w:val="29"/>
          <w:szCs w:val="29"/>
          <w:lang w:eastAsia="en-GB"/>
        </w:rPr>
      </w:pPr>
      <w:r w:rsidRPr="00532D0D">
        <w:rPr>
          <w:rFonts w:cs="Arial"/>
          <w:color w:val="0B0C0C"/>
          <w:sz w:val="29"/>
          <w:szCs w:val="29"/>
          <w:lang w:eastAsia="en-GB"/>
        </w:rPr>
        <w:t>The code also obliges registered bodies to have a written policy on the recruitment of ex-offenders; a copy of which can be given to DBS applicants at the outset of the recruitment process.</w:t>
      </w:r>
    </w:p>
    <w:p w:rsidR="00532D0D" w:rsidRDefault="00532D0D" w:rsidP="00532D0D">
      <w:pPr>
        <w:shd w:val="clear" w:color="auto" w:fill="FFFFFF"/>
        <w:spacing w:before="300" w:after="300"/>
        <w:rPr>
          <w:rFonts w:cs="Arial"/>
          <w:color w:val="0B0C0C"/>
          <w:sz w:val="29"/>
          <w:szCs w:val="29"/>
          <w:lang w:eastAsia="en-GB"/>
        </w:rPr>
      </w:pPr>
    </w:p>
    <w:p w:rsidR="00532D0D" w:rsidRP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t>Further Information about conviction information</w:t>
      </w:r>
    </w:p>
    <w:p w:rsidR="00532D0D" w:rsidRDefault="00532D0D" w:rsidP="00532D0D">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On the 29 May 2013, legislation came into force that allows certain old and minor cautions and convictions to no longer be subject to disclosure.</w:t>
      </w:r>
    </w:p>
    <w:p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I</w:t>
      </w:r>
      <w:r w:rsidR="00532D0D">
        <w:rPr>
          <w:rFonts w:cs="Arial"/>
          <w:color w:val="0B0C0C"/>
          <w:sz w:val="29"/>
          <w:szCs w:val="29"/>
        </w:rPr>
        <w:t>n addition, employers will no longer be able to take an individual’s old and minor cautions and convictions into account when making decisions</w:t>
      </w:r>
    </w:p>
    <w:p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A</w:t>
      </w:r>
      <w:r w:rsidR="00532D0D">
        <w:rPr>
          <w:rFonts w:cs="Arial"/>
          <w:color w:val="0B0C0C"/>
          <w:sz w:val="29"/>
          <w:szCs w:val="29"/>
        </w:rPr>
        <w:t>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A</w:t>
      </w:r>
      <w:r w:rsidR="00532D0D">
        <w:rPr>
          <w:rFonts w:cs="Arial"/>
          <w:color w:val="0B0C0C"/>
          <w:sz w:val="29"/>
          <w:szCs w:val="29"/>
        </w:rPr>
        <w:t>pplicants can be directed to the guidance and criteria which explains the </w:t>
      </w:r>
      <w:hyperlink r:id="rId9" w:history="1">
        <w:r w:rsidR="00532D0D">
          <w:rPr>
            <w:rStyle w:val="Hyperlink"/>
            <w:rFonts w:cs="Arial"/>
            <w:color w:val="1D70B8"/>
            <w:sz w:val="29"/>
            <w:szCs w:val="29"/>
          </w:rPr>
          <w:t>filtering of old and minor cautions and convictions</w:t>
        </w:r>
      </w:hyperlink>
      <w:r w:rsidR="00532D0D">
        <w:rPr>
          <w:rFonts w:cs="Arial"/>
          <w:color w:val="0B0C0C"/>
          <w:sz w:val="29"/>
          <w:szCs w:val="29"/>
        </w:rPr>
        <w:t> which are now ‘protected’ so not subject to disclosure to employers.</w:t>
      </w:r>
    </w:p>
    <w:p w:rsidR="00532D0D" w:rsidRDefault="00532D0D" w:rsidP="00532D0D">
      <w:pPr>
        <w:shd w:val="clear" w:color="auto" w:fill="FFFFFF"/>
        <w:spacing w:after="75"/>
        <w:ind w:left="300"/>
        <w:rPr>
          <w:rFonts w:cs="Arial"/>
          <w:color w:val="0B0C0C"/>
          <w:sz w:val="29"/>
          <w:szCs w:val="29"/>
        </w:rPr>
      </w:pPr>
    </w:p>
    <w:p w:rsid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t>Policy Statements</w:t>
      </w:r>
    </w:p>
    <w:p w:rsidR="00532D0D" w:rsidRDefault="00532D0D" w:rsidP="00532D0D">
      <w:pPr>
        <w:pStyle w:val="NormalWeb"/>
        <w:numPr>
          <w:ilvl w:val="0"/>
          <w:numId w:val="17"/>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As an organisation assessing applicants’ suitability for positions which are included in the Rehabilitation of Offenders Act 1974 (Exceptions) Order using criminal record checks processed through the Disclosure and Barring Service (DBS), Priory Infant School complies fully with the </w:t>
      </w:r>
      <w:hyperlink r:id="rId10" w:history="1">
        <w:r>
          <w:rPr>
            <w:rStyle w:val="Hyperlink"/>
            <w:rFonts w:ascii="Arial" w:hAnsi="Arial" w:cs="Arial"/>
            <w:color w:val="1D70B8"/>
            <w:sz w:val="29"/>
            <w:szCs w:val="29"/>
          </w:rPr>
          <w:t>code of practice</w:t>
        </w:r>
      </w:hyperlink>
      <w:r>
        <w:rPr>
          <w:rFonts w:ascii="Arial" w:hAnsi="Arial" w:cs="Arial"/>
          <w:color w:val="0B0C0C"/>
          <w:sz w:val="29"/>
          <w:szCs w:val="29"/>
        </w:rPr>
        <w:t> and undertakes to treat all applicants for positions fairly</w:t>
      </w:r>
    </w:p>
    <w:p w:rsidR="00532D0D" w:rsidRDefault="00532D0D" w:rsidP="00532D0D">
      <w:pPr>
        <w:pStyle w:val="NormalWeb"/>
        <w:numPr>
          <w:ilvl w:val="0"/>
          <w:numId w:val="17"/>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undertakes not to discriminate unfairly against any subject of a criminal record check on the basis of a conviction or other information revealed</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lastRenderedPageBreak/>
        <w:t>Priory Infant School can only ask an individual to provide details of convictions and cautions that Priory Infant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can only ask an individual about convictions and cautions that are not protected</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is committed to the fair treatment of its staff, potential staff or users of its services, regardless of race, gender, religion, sexual orientation, responsibilities for dependants, age, physical/mental disability or offending background</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has a written policy on the recruitment of ex-offenders, which is made available to all DBS applicants at the start of the recruitment process</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actively promotes equality of opportunity for all with the right mix of talent, skills and potential and welcome applications from a wide range of candidates, including those with criminal records</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select all candidates for interview based on their skills, qualifications and experience</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w:t>
      </w:r>
      <w:r w:rsidR="0001096F">
        <w:rPr>
          <w:rFonts w:ascii="Arial" w:hAnsi="Arial" w:cs="Arial"/>
          <w:color w:val="0B0C0C"/>
          <w:sz w:val="29"/>
          <w:szCs w:val="29"/>
        </w:rPr>
        <w:t xml:space="preserve">hool ensures that all those in </w:t>
      </w:r>
      <w:r>
        <w:rPr>
          <w:rFonts w:ascii="Arial" w:hAnsi="Arial" w:cs="Arial"/>
          <w:color w:val="0B0C0C"/>
          <w:sz w:val="29"/>
          <w:szCs w:val="29"/>
        </w:rPr>
        <w:t>Priory Infant School who are involved in the recruitment process have been suitably trained to identify and assess the relevance and circumstances of offences</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also ensures that they have received appropriate guidance and training in the relevant legislation relating to the employment of ex-offenders, e.g. the Rehabilitation of Offenders Act 1974</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At interview, or in a separate discussion, Priory Infant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lastRenderedPageBreak/>
        <w:t>Priory Infant School makes every subject of a criminal record check submitted to DBS aware of the existence of the </w:t>
      </w:r>
      <w:hyperlink r:id="rId11" w:history="1">
        <w:r>
          <w:rPr>
            <w:rStyle w:val="Hyperlink"/>
            <w:rFonts w:ascii="Arial" w:hAnsi="Arial" w:cs="Arial"/>
            <w:color w:val="1D70B8"/>
            <w:sz w:val="29"/>
            <w:szCs w:val="29"/>
          </w:rPr>
          <w:t>code of practice</w:t>
        </w:r>
      </w:hyperlink>
      <w:r>
        <w:rPr>
          <w:rFonts w:ascii="Arial" w:hAnsi="Arial" w:cs="Arial"/>
          <w:color w:val="0B0C0C"/>
          <w:sz w:val="29"/>
          <w:szCs w:val="29"/>
        </w:rPr>
        <w:t> and makes a copy available on request</w:t>
      </w:r>
    </w:p>
    <w:p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undertakes to discuss any matter revealed on a DBS certificate with the individual seeking the position before withdrawing a conditional offer of employment.</w:t>
      </w:r>
    </w:p>
    <w:p w:rsidR="00532D0D" w:rsidRPr="00532D0D" w:rsidRDefault="00532D0D" w:rsidP="00532D0D">
      <w:pPr>
        <w:shd w:val="clear" w:color="auto" w:fill="FFFFFF"/>
        <w:spacing w:before="300" w:after="300"/>
        <w:rPr>
          <w:rFonts w:cs="Arial"/>
          <w:b/>
          <w:color w:val="0B0C0C"/>
          <w:sz w:val="28"/>
          <w:szCs w:val="29"/>
          <w:lang w:eastAsia="en-GB"/>
        </w:rPr>
      </w:pPr>
    </w:p>
    <w:sectPr w:rsidR="00532D0D" w:rsidRPr="00532D0D" w:rsidSect="00BE43D5">
      <w:footerReference w:type="default" r:id="rId12"/>
      <w:pgSz w:w="11906" w:h="16838" w:code="9"/>
      <w:pgMar w:top="1134" w:right="1134" w:bottom="1134" w:left="1134" w:header="720"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DE8" w:rsidRDefault="00A95DE8">
      <w:r>
        <w:separator/>
      </w:r>
    </w:p>
  </w:endnote>
  <w:endnote w:type="continuationSeparator" w:id="0">
    <w:p w:rsidR="00A95DE8" w:rsidRDefault="00A9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3E" w:rsidRDefault="00CB733E">
    <w:pPr>
      <w:pStyle w:val="Footer"/>
      <w:jc w:val="right"/>
    </w:pPr>
    <w:r>
      <w:fldChar w:fldCharType="begin"/>
    </w:r>
    <w:r>
      <w:instrText xml:space="preserve"> PAGE   \* MERGEFORMAT </w:instrText>
    </w:r>
    <w:r>
      <w:fldChar w:fldCharType="separate"/>
    </w:r>
    <w:r w:rsidR="0001096F">
      <w:rPr>
        <w:noProof/>
      </w:rPr>
      <w:t>3</w:t>
    </w:r>
    <w:r>
      <w:rPr>
        <w:noProof/>
      </w:rPr>
      <w:fldChar w:fldCharType="end"/>
    </w:r>
  </w:p>
  <w:p w:rsidR="00A77926" w:rsidRDefault="00A77926">
    <w:pPr>
      <w:pStyle w:val="Footer"/>
      <w:jc w:val="cente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DE8" w:rsidRDefault="00A95DE8">
      <w:r>
        <w:separator/>
      </w:r>
    </w:p>
  </w:footnote>
  <w:footnote w:type="continuationSeparator" w:id="0">
    <w:p w:rsidR="00A95DE8" w:rsidRDefault="00A95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6529"/>
    <w:multiLevelType w:val="hybridMultilevel"/>
    <w:tmpl w:val="401AB9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F2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8701E"/>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C746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93F"/>
    <w:multiLevelType w:val="hybridMultilevel"/>
    <w:tmpl w:val="544ECDCA"/>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60A0C"/>
    <w:multiLevelType w:val="hybridMultilevel"/>
    <w:tmpl w:val="21A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94F6E"/>
    <w:multiLevelType w:val="multilevel"/>
    <w:tmpl w:val="69E84AD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3A14726"/>
    <w:multiLevelType w:val="hybridMultilevel"/>
    <w:tmpl w:val="3CEA33C4"/>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63947"/>
    <w:multiLevelType w:val="hybridMultilevel"/>
    <w:tmpl w:val="3E7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A0CBC"/>
    <w:multiLevelType w:val="hybridMultilevel"/>
    <w:tmpl w:val="8F5EB39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63936"/>
    <w:multiLevelType w:val="multilevel"/>
    <w:tmpl w:val="2C3E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AF0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E54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381EFA"/>
    <w:multiLevelType w:val="hybridMultilevel"/>
    <w:tmpl w:val="18CA7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405AC9"/>
    <w:multiLevelType w:val="hybridMultilevel"/>
    <w:tmpl w:val="468CF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CA79F3"/>
    <w:multiLevelType w:val="multilevel"/>
    <w:tmpl w:val="4F0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7F766A"/>
    <w:multiLevelType w:val="hybridMultilevel"/>
    <w:tmpl w:val="67408DF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D90562"/>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6"/>
  </w:num>
  <w:num w:numId="4">
    <w:abstractNumId w:val="17"/>
  </w:num>
  <w:num w:numId="5">
    <w:abstractNumId w:val="12"/>
  </w:num>
  <w:num w:numId="6">
    <w:abstractNumId w:val="1"/>
  </w:num>
  <w:num w:numId="7">
    <w:abstractNumId w:val="11"/>
  </w:num>
  <w:num w:numId="8">
    <w:abstractNumId w:val="3"/>
  </w:num>
  <w:num w:numId="9">
    <w:abstractNumId w:val="7"/>
  </w:num>
  <w:num w:numId="10">
    <w:abstractNumId w:val="4"/>
  </w:num>
  <w:num w:numId="11">
    <w:abstractNumId w:val="14"/>
  </w:num>
  <w:num w:numId="12">
    <w:abstractNumId w:val="8"/>
  </w:num>
  <w:num w:numId="13">
    <w:abstractNumId w:val="5"/>
  </w:num>
  <w:num w:numId="14">
    <w:abstractNumId w:val="16"/>
  </w:num>
  <w:num w:numId="15">
    <w:abstractNumId w:val="10"/>
  </w:num>
  <w:num w:numId="16">
    <w:abstractNumId w:val="15"/>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5F"/>
    <w:rsid w:val="0001096F"/>
    <w:rsid w:val="000311B1"/>
    <w:rsid w:val="00064FC6"/>
    <w:rsid w:val="000838FC"/>
    <w:rsid w:val="00084DEA"/>
    <w:rsid w:val="00091E27"/>
    <w:rsid w:val="000C030D"/>
    <w:rsid w:val="0016145D"/>
    <w:rsid w:val="00173F75"/>
    <w:rsid w:val="001A4961"/>
    <w:rsid w:val="002167BE"/>
    <w:rsid w:val="0029536F"/>
    <w:rsid w:val="002C0063"/>
    <w:rsid w:val="00384FF4"/>
    <w:rsid w:val="003B1E95"/>
    <w:rsid w:val="003D2A25"/>
    <w:rsid w:val="003E2CF9"/>
    <w:rsid w:val="003F1F54"/>
    <w:rsid w:val="003F5719"/>
    <w:rsid w:val="00407ACC"/>
    <w:rsid w:val="004174CB"/>
    <w:rsid w:val="004C4D62"/>
    <w:rsid w:val="00532D0D"/>
    <w:rsid w:val="006303A5"/>
    <w:rsid w:val="00641DEF"/>
    <w:rsid w:val="00662DA8"/>
    <w:rsid w:val="006B13DA"/>
    <w:rsid w:val="006C2484"/>
    <w:rsid w:val="00735A1A"/>
    <w:rsid w:val="00761C01"/>
    <w:rsid w:val="007950AF"/>
    <w:rsid w:val="007D630A"/>
    <w:rsid w:val="007F5E11"/>
    <w:rsid w:val="007F7AB7"/>
    <w:rsid w:val="00876041"/>
    <w:rsid w:val="009B453B"/>
    <w:rsid w:val="009C12FF"/>
    <w:rsid w:val="00A24A8C"/>
    <w:rsid w:val="00A46C2E"/>
    <w:rsid w:val="00A77926"/>
    <w:rsid w:val="00A853F7"/>
    <w:rsid w:val="00A95DE8"/>
    <w:rsid w:val="00B561E1"/>
    <w:rsid w:val="00B814CD"/>
    <w:rsid w:val="00BC1705"/>
    <w:rsid w:val="00BE43D5"/>
    <w:rsid w:val="00C0233C"/>
    <w:rsid w:val="00C40C92"/>
    <w:rsid w:val="00C61ED4"/>
    <w:rsid w:val="00CA6049"/>
    <w:rsid w:val="00CB733E"/>
    <w:rsid w:val="00CD37CA"/>
    <w:rsid w:val="00CE7DE2"/>
    <w:rsid w:val="00D210F5"/>
    <w:rsid w:val="00DE5493"/>
    <w:rsid w:val="00E06891"/>
    <w:rsid w:val="00E2335F"/>
    <w:rsid w:val="00E3171E"/>
    <w:rsid w:val="00E73BFF"/>
    <w:rsid w:val="00E74E31"/>
    <w:rsid w:val="00E94CFA"/>
    <w:rsid w:val="00EA770F"/>
    <w:rsid w:val="00EC7EE8"/>
    <w:rsid w:val="00ED37A9"/>
    <w:rsid w:val="00F42412"/>
    <w:rsid w:val="00F61767"/>
    <w:rsid w:val="00F7112E"/>
    <w:rsid w:val="00FA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06F891B-FAA1-4B62-A2B5-E079C87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33C"/>
    <w:rPr>
      <w:rFonts w:ascii="Arial" w:eastAsia="Times New Roman" w:hAnsi="Arial"/>
      <w:sz w:val="24"/>
      <w:szCs w:val="24"/>
      <w:lang w:eastAsia="en-US"/>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jc w:val="center"/>
      <w:outlineLvl w:val="1"/>
    </w:pPr>
    <w:rPr>
      <w:b/>
      <w:bCs/>
      <w:sz w:val="22"/>
      <w:szCs w:val="20"/>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StyleHeading112ptNotBoldLeft">
    <w:name w:val="Style Heading 1 + 12 pt Not Bold Left"/>
    <w:basedOn w:val="Normal"/>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character" w:styleId="Hyperlink">
    <w:name w:val="Hyperlink"/>
    <w:rPr>
      <w:color w:val="0000FF"/>
      <w:u w:val="single"/>
    </w:rPr>
  </w:style>
  <w:style w:type="table" w:styleId="TableGrid">
    <w:name w:val="Table Grid"/>
    <w:basedOn w:val="TableNormal"/>
    <w:rsid w:val="0073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7F5E11"/>
    <w:pPr>
      <w:spacing w:after="160" w:line="240" w:lineRule="exact"/>
    </w:pPr>
    <w:rPr>
      <w:rFonts w:ascii="Verdana" w:hAnsi="Verdana" w:cs="Verdana"/>
      <w:sz w:val="20"/>
      <w:szCs w:val="20"/>
      <w:lang w:eastAsia="en-GB"/>
    </w:rPr>
  </w:style>
  <w:style w:type="paragraph" w:styleId="BodyText">
    <w:name w:val="Body Text"/>
    <w:basedOn w:val="Normal"/>
    <w:rsid w:val="00BE43D5"/>
    <w:rPr>
      <w:b/>
      <w:szCs w:val="20"/>
      <w:lang w:eastAsia="en-GB"/>
    </w:rPr>
  </w:style>
  <w:style w:type="character" w:customStyle="1" w:styleId="FooterChar">
    <w:name w:val="Footer Char"/>
    <w:link w:val="Footer"/>
    <w:uiPriority w:val="99"/>
    <w:rsid w:val="00CB733E"/>
    <w:rPr>
      <w:rFonts w:ascii="Arial" w:eastAsia="Times New Roman" w:hAnsi="Arial"/>
      <w:sz w:val="24"/>
      <w:szCs w:val="24"/>
      <w:lang w:eastAsia="en-US"/>
    </w:rPr>
  </w:style>
  <w:style w:type="paragraph" w:styleId="ListParagraph">
    <w:name w:val="List Paragraph"/>
    <w:basedOn w:val="Normal"/>
    <w:uiPriority w:val="34"/>
    <w:qFormat/>
    <w:rsid w:val="006303A5"/>
    <w:pPr>
      <w:ind w:left="720"/>
      <w:contextualSpacing/>
    </w:pPr>
  </w:style>
  <w:style w:type="paragraph" w:styleId="BalloonText">
    <w:name w:val="Balloon Text"/>
    <w:basedOn w:val="Normal"/>
    <w:link w:val="BalloonTextChar"/>
    <w:rsid w:val="003F5719"/>
    <w:rPr>
      <w:rFonts w:ascii="Segoe UI" w:hAnsi="Segoe UI" w:cs="Segoe UI"/>
      <w:sz w:val="18"/>
      <w:szCs w:val="18"/>
    </w:rPr>
  </w:style>
  <w:style w:type="character" w:customStyle="1" w:styleId="BalloonTextChar">
    <w:name w:val="Balloon Text Char"/>
    <w:basedOn w:val="DefaultParagraphFont"/>
    <w:link w:val="BalloonText"/>
    <w:rsid w:val="003F5719"/>
    <w:rPr>
      <w:rFonts w:ascii="Segoe UI" w:eastAsia="Times New Roman" w:hAnsi="Segoe UI" w:cs="Segoe UI"/>
      <w:sz w:val="18"/>
      <w:szCs w:val="18"/>
      <w:lang w:eastAsia="en-US"/>
    </w:rPr>
  </w:style>
  <w:style w:type="paragraph" w:styleId="NormalWeb">
    <w:name w:val="Normal (Web)"/>
    <w:basedOn w:val="Normal"/>
    <w:uiPriority w:val="99"/>
    <w:unhideWhenUsed/>
    <w:rsid w:val="00532D0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7003">
      <w:bodyDiv w:val="1"/>
      <w:marLeft w:val="0"/>
      <w:marRight w:val="0"/>
      <w:marTop w:val="0"/>
      <w:marBottom w:val="0"/>
      <w:divBdr>
        <w:top w:val="none" w:sz="0" w:space="0" w:color="auto"/>
        <w:left w:val="none" w:sz="0" w:space="0" w:color="auto"/>
        <w:bottom w:val="none" w:sz="0" w:space="0" w:color="auto"/>
        <w:right w:val="none" w:sz="0" w:space="0" w:color="auto"/>
      </w:divBdr>
    </w:div>
    <w:div w:id="984818066">
      <w:bodyDiv w:val="1"/>
      <w:marLeft w:val="0"/>
      <w:marRight w:val="0"/>
      <w:marTop w:val="0"/>
      <w:marBottom w:val="0"/>
      <w:divBdr>
        <w:top w:val="none" w:sz="0" w:space="0" w:color="auto"/>
        <w:left w:val="none" w:sz="0" w:space="0" w:color="auto"/>
        <w:bottom w:val="none" w:sz="0" w:space="0" w:color="auto"/>
        <w:right w:val="none" w:sz="0" w:space="0" w:color="auto"/>
      </w:divBdr>
    </w:div>
    <w:div w:id="1296452840">
      <w:bodyDiv w:val="1"/>
      <w:marLeft w:val="0"/>
      <w:marRight w:val="0"/>
      <w:marTop w:val="0"/>
      <w:marBottom w:val="0"/>
      <w:divBdr>
        <w:top w:val="none" w:sz="0" w:space="0" w:color="auto"/>
        <w:left w:val="none" w:sz="0" w:space="0" w:color="auto"/>
        <w:bottom w:val="none" w:sz="0" w:space="0" w:color="auto"/>
        <w:right w:val="none" w:sz="0" w:space="0" w:color="auto"/>
      </w:divBdr>
    </w:div>
    <w:div w:id="16134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mo\Local%20Settings\Temporary%20Internet%20Files\OLK26\RA%20HR%20Policy%20Template%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 HR Policy Template Draft</Template>
  <TotalTime>1</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P624a School Intimate Care Model Policy</vt:lpstr>
    </vt:vector>
  </TitlesOfParts>
  <Company>Norfolk County Council</Company>
  <LinksUpToDate>false</LinksUpToDate>
  <CharactersWithSpaces>5429</CharactersWithSpaces>
  <SharedDoc>false</SharedDoc>
  <HLinks>
    <vt:vector size="6" baseType="variant">
      <vt:variant>
        <vt:i4>1704023</vt:i4>
      </vt:variant>
      <vt:variant>
        <vt:i4>10598</vt:i4>
      </vt:variant>
      <vt:variant>
        <vt:i4>1025</vt:i4>
      </vt:variant>
      <vt:variant>
        <vt:i4>1</vt:i4>
      </vt:variant>
      <vt:variant>
        <vt:lpwstr>http://intranet.norfolk.gov.uk/guidelines/images/NCC-new-branding-(web)-3.jpg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P624a School Intimate Care Model Policy</dc:title>
  <dc:subject/>
  <dc:creator>rnamo</dc:creator>
  <cp:keywords/>
  <dc:description/>
  <cp:lastModifiedBy>Priory Infant Headteacher</cp:lastModifiedBy>
  <cp:revision>2</cp:revision>
  <cp:lastPrinted>2021-11-01T07:32:00Z</cp:lastPrinted>
  <dcterms:created xsi:type="dcterms:W3CDTF">2022-06-15T07:33:00Z</dcterms:created>
  <dcterms:modified xsi:type="dcterms:W3CDTF">2022-06-15T07:33:00Z</dcterms:modified>
</cp:coreProperties>
</file>