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C8FC7" w14:textId="77777777" w:rsidR="002E0E7B" w:rsidRDefault="00031C5B">
      <w:bookmarkStart w:id="0" w:name="_GoBack"/>
      <w:bookmarkEnd w:id="0"/>
      <w:r>
        <w:rPr>
          <w:noProof/>
          <w:lang w:eastAsia="en-GB"/>
        </w:rPr>
        <w:drawing>
          <wp:anchor distT="0" distB="0" distL="114300" distR="114300" simplePos="0" relativeHeight="251660288" behindDoc="0" locked="0" layoutInCell="1" allowOverlap="1" wp14:anchorId="2FC6708B" wp14:editId="07777777">
            <wp:simplePos x="0" y="0"/>
            <wp:positionH relativeFrom="column">
              <wp:posOffset>1885950</wp:posOffset>
            </wp:positionH>
            <wp:positionV relativeFrom="paragraph">
              <wp:posOffset>77470</wp:posOffset>
            </wp:positionV>
            <wp:extent cx="215265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DAT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8D5F690" wp14:editId="07777777">
                <wp:simplePos x="0" y="0"/>
                <wp:positionH relativeFrom="column">
                  <wp:posOffset>-611505</wp:posOffset>
                </wp:positionH>
                <wp:positionV relativeFrom="paragraph">
                  <wp:posOffset>-370840</wp:posOffset>
                </wp:positionV>
                <wp:extent cx="7019925" cy="10163175"/>
                <wp:effectExtent l="19050" t="19050" r="47625" b="47625"/>
                <wp:wrapNone/>
                <wp:docPr id="7" name="Rectangle 7"/>
                <wp:cNvGraphicFramePr/>
                <a:graphic xmlns:a="http://schemas.openxmlformats.org/drawingml/2006/main">
                  <a:graphicData uri="http://schemas.microsoft.com/office/word/2010/wordprocessingShape">
                    <wps:wsp>
                      <wps:cNvSpPr/>
                      <wps:spPr>
                        <a:xfrm>
                          <a:off x="0" y="0"/>
                          <a:ext cx="7019925" cy="10163175"/>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28A6F22">
              <v:rect id="Rectangle 7" style="position:absolute;margin-left:-48.15pt;margin-top:-29.2pt;width:552.7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79646 [3209]" strokeweight="4.5pt" w14:anchorId="31C62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"/>
            </w:pict>
          </mc:Fallback>
        </mc:AlternateContent>
      </w:r>
    </w:p>
    <w:p w14:paraId="672A6659" w14:textId="77777777" w:rsidR="002E0E7B" w:rsidRDefault="002E0E7B"/>
    <w:p w14:paraId="0A37501D" w14:textId="77777777" w:rsidR="002E0E7B" w:rsidRDefault="002E0E7B"/>
    <w:p w14:paraId="5DAB6C7B" w14:textId="77777777" w:rsidR="002E0E7B" w:rsidRDefault="002E0E7B"/>
    <w:p w14:paraId="02EB378F" w14:textId="77777777" w:rsidR="002E0E7B" w:rsidRDefault="002E0E7B"/>
    <w:p w14:paraId="6A05A809" w14:textId="77777777" w:rsidR="002E0E7B" w:rsidRDefault="002E0E7B">
      <w:pPr>
        <w:jc w:val="center"/>
        <w:rPr>
          <w:sz w:val="36"/>
        </w:rPr>
      </w:pPr>
    </w:p>
    <w:p w14:paraId="5A39BBE3" w14:textId="77777777" w:rsidR="002E0E7B" w:rsidRDefault="002E0E7B">
      <w:pPr>
        <w:jc w:val="center"/>
        <w:rPr>
          <w:sz w:val="36"/>
        </w:rPr>
      </w:pPr>
    </w:p>
    <w:p w14:paraId="41C8F396" w14:textId="77777777" w:rsidR="002E0E7B" w:rsidRDefault="002E0E7B">
      <w:pPr>
        <w:jc w:val="center"/>
        <w:rPr>
          <w:sz w:val="36"/>
        </w:rPr>
      </w:pPr>
    </w:p>
    <w:p w14:paraId="72A3D3EC" w14:textId="77777777" w:rsidR="002E0E7B" w:rsidRDefault="002E0E7B">
      <w:pPr>
        <w:jc w:val="center"/>
        <w:rPr>
          <w:sz w:val="36"/>
        </w:rPr>
      </w:pPr>
    </w:p>
    <w:p w14:paraId="0D0B940D" w14:textId="77777777" w:rsidR="002E0E7B" w:rsidRDefault="002E0E7B">
      <w:pPr>
        <w:jc w:val="center"/>
        <w:rPr>
          <w:sz w:val="36"/>
        </w:rPr>
      </w:pPr>
    </w:p>
    <w:p w14:paraId="0E27B00A" w14:textId="77777777" w:rsidR="002E0E7B" w:rsidRDefault="002E0E7B">
      <w:pPr>
        <w:jc w:val="center"/>
        <w:rPr>
          <w:sz w:val="36"/>
        </w:rPr>
      </w:pPr>
    </w:p>
    <w:p w14:paraId="6C474E18" w14:textId="77777777" w:rsidR="002E0E7B" w:rsidRDefault="00031C5B">
      <w:pPr>
        <w:jc w:val="center"/>
        <w:rPr>
          <w:sz w:val="36"/>
        </w:rPr>
      </w:pPr>
      <w:r>
        <w:rPr>
          <w:sz w:val="36"/>
        </w:rPr>
        <w:t xml:space="preserve">Whinless Down Academy Trust </w:t>
      </w:r>
    </w:p>
    <w:p w14:paraId="60061E4C" w14:textId="77777777" w:rsidR="002E0E7B" w:rsidRDefault="002E0E7B">
      <w:pPr>
        <w:jc w:val="center"/>
        <w:rPr>
          <w:sz w:val="36"/>
        </w:rPr>
      </w:pPr>
    </w:p>
    <w:p w14:paraId="44EAFD9C" w14:textId="77777777" w:rsidR="002E0E7B" w:rsidRDefault="002E0E7B">
      <w:pPr>
        <w:jc w:val="center"/>
        <w:rPr>
          <w:sz w:val="36"/>
        </w:rPr>
      </w:pPr>
    </w:p>
    <w:p w14:paraId="4B94D5A5" w14:textId="77777777" w:rsidR="002E0E7B" w:rsidRDefault="002E0E7B" w:rsidP="000A5FCC">
      <w:pPr>
        <w:ind w:left="0" w:firstLine="0"/>
        <w:rPr>
          <w:sz w:val="72"/>
        </w:rPr>
      </w:pPr>
    </w:p>
    <w:p w14:paraId="3DEEC669" w14:textId="77777777" w:rsidR="002E0E7B" w:rsidRDefault="002E0E7B">
      <w:pPr>
        <w:jc w:val="center"/>
        <w:rPr>
          <w:sz w:val="72"/>
        </w:rPr>
      </w:pPr>
    </w:p>
    <w:p w14:paraId="0673EDD7" w14:textId="2A7A42BC" w:rsidR="002E0E7B" w:rsidRDefault="000250FA">
      <w:pPr>
        <w:jc w:val="center"/>
        <w:rPr>
          <w:sz w:val="72"/>
        </w:rPr>
      </w:pPr>
      <w:r>
        <w:rPr>
          <w:sz w:val="72"/>
        </w:rPr>
        <w:t>Employment of Ex-Offenders Policy</w:t>
      </w:r>
    </w:p>
    <w:p w14:paraId="3656B9AB" w14:textId="77777777" w:rsidR="002E0E7B" w:rsidRDefault="002E0E7B">
      <w:pPr>
        <w:jc w:val="center"/>
        <w:rPr>
          <w:sz w:val="72"/>
        </w:rPr>
      </w:pPr>
    </w:p>
    <w:p w14:paraId="1AC5DF7C" w14:textId="0068A629" w:rsidR="005F4411" w:rsidRDefault="000250FA" w:rsidP="000250FA">
      <w:pPr>
        <w:jc w:val="center"/>
        <w:rPr>
          <w:sz w:val="72"/>
        </w:rPr>
      </w:pPr>
      <w:r>
        <w:rPr>
          <w:sz w:val="72"/>
        </w:rPr>
        <w:t>Spring 2022</w:t>
      </w:r>
    </w:p>
    <w:p w14:paraId="3B35F45E" w14:textId="58B57CC9" w:rsidR="000250FA" w:rsidRDefault="000250FA" w:rsidP="000250FA">
      <w:pPr>
        <w:jc w:val="center"/>
        <w:rPr>
          <w:sz w:val="72"/>
        </w:rPr>
      </w:pPr>
    </w:p>
    <w:p w14:paraId="45FB0818" w14:textId="77777777" w:rsidR="002E0E7B" w:rsidRDefault="002E0E7B">
      <w:pPr>
        <w:autoSpaceDE w:val="0"/>
        <w:autoSpaceDN w:val="0"/>
        <w:adjustRightInd w:val="0"/>
        <w:ind w:left="0" w:firstLine="0"/>
        <w:rPr>
          <w:rFonts w:cs="Calibri,Bold"/>
          <w:b/>
          <w:bCs/>
          <w:sz w:val="28"/>
          <w:szCs w:val="28"/>
        </w:rPr>
      </w:pPr>
    </w:p>
    <w:p w14:paraId="049F31CB" w14:textId="77777777" w:rsidR="002E0E7B" w:rsidRDefault="002E0E7B">
      <w:pPr>
        <w:autoSpaceDE w:val="0"/>
        <w:autoSpaceDN w:val="0"/>
        <w:adjustRightInd w:val="0"/>
        <w:ind w:left="0" w:firstLine="0"/>
        <w:rPr>
          <w:rFonts w:cs="Calibri,Bold"/>
          <w:b/>
          <w:bCs/>
          <w:sz w:val="28"/>
          <w:szCs w:val="28"/>
        </w:rPr>
      </w:pPr>
    </w:p>
    <w:p w14:paraId="4B99056E" w14:textId="2E2B15F4" w:rsidR="002E0E7B" w:rsidRDefault="002E0E7B">
      <w:pPr>
        <w:autoSpaceDE w:val="0"/>
        <w:autoSpaceDN w:val="0"/>
        <w:adjustRightInd w:val="0"/>
        <w:ind w:left="0" w:firstLine="0"/>
        <w:rPr>
          <w:rFonts w:cs="Calibri,Bold"/>
          <w:b/>
          <w:bCs/>
          <w:sz w:val="28"/>
          <w:szCs w:val="28"/>
        </w:rPr>
      </w:pPr>
    </w:p>
    <w:p w14:paraId="1299C43A" w14:textId="77777777" w:rsidR="002E0E7B" w:rsidRDefault="002E0E7B">
      <w:pPr>
        <w:autoSpaceDE w:val="0"/>
        <w:autoSpaceDN w:val="0"/>
        <w:adjustRightInd w:val="0"/>
        <w:ind w:left="0" w:firstLine="0"/>
        <w:rPr>
          <w:rFonts w:cs="Calibri,Bold"/>
          <w:b/>
          <w:bCs/>
          <w:sz w:val="28"/>
          <w:szCs w:val="28"/>
        </w:rPr>
      </w:pPr>
    </w:p>
    <w:p w14:paraId="6EF6E77B"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4384" behindDoc="1" locked="0" layoutInCell="1" allowOverlap="1" wp14:anchorId="5A99277E" wp14:editId="07777777">
            <wp:simplePos x="0" y="0"/>
            <wp:positionH relativeFrom="column">
              <wp:posOffset>2122170</wp:posOffset>
            </wp:positionH>
            <wp:positionV relativeFrom="paragraph">
              <wp:posOffset>5080</wp:posOffset>
            </wp:positionV>
            <wp:extent cx="1822450" cy="828675"/>
            <wp:effectExtent l="0" t="0" r="6350" b="9525"/>
            <wp:wrapNone/>
            <wp:docPr id="2" name="Picture 2" descr="\\Admin-Dc01\vicky$\Desktop\Logos\Val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vicky$\Desktop\Logos\Vale View.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9463"/>
                    <a:stretch/>
                  </pic:blipFill>
                  <pic:spPr bwMode="auto">
                    <a:xfrm>
                      <a:off x="0" y="0"/>
                      <a:ext cx="18224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6"/>
          <w:lang w:eastAsia="en-GB"/>
        </w:rPr>
        <w:drawing>
          <wp:anchor distT="0" distB="0" distL="114300" distR="114300" simplePos="0" relativeHeight="251661312" behindDoc="0" locked="0" layoutInCell="1" allowOverlap="1" wp14:anchorId="5B29AC91" wp14:editId="07777777">
            <wp:simplePos x="0" y="0"/>
            <wp:positionH relativeFrom="column">
              <wp:posOffset>-288925</wp:posOffset>
            </wp:positionH>
            <wp:positionV relativeFrom="paragraph">
              <wp:posOffset>72390</wp:posOffset>
            </wp:positionV>
            <wp:extent cx="2266950" cy="607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small logo.png"/>
                    <pic:cNvPicPr/>
                  </pic:nvPicPr>
                  <pic:blipFill>
                    <a:blip r:embed="rId13">
                      <a:extLst>
                        <a:ext uri="{28A0092B-C50C-407E-A947-70E740481C1C}">
                          <a14:useLocalDpi xmlns:a14="http://schemas.microsoft.com/office/drawing/2010/main" val="0"/>
                        </a:ext>
                      </a:extLst>
                    </a:blip>
                    <a:stretch>
                      <a:fillRect/>
                    </a:stretch>
                  </pic:blipFill>
                  <pic:spPr>
                    <a:xfrm>
                      <a:off x="0" y="0"/>
                      <a:ext cx="2266950" cy="607695"/>
                    </a:xfrm>
                    <a:prstGeom prst="rect">
                      <a:avLst/>
                    </a:prstGeom>
                  </pic:spPr>
                </pic:pic>
              </a:graphicData>
            </a:graphic>
            <wp14:sizeRelH relativeFrom="page">
              <wp14:pctWidth>0</wp14:pctWidth>
            </wp14:sizeRelH>
            <wp14:sizeRelV relativeFrom="page">
              <wp14:pctHeight>0</wp14:pctHeight>
            </wp14:sizeRelV>
          </wp:anchor>
        </w:drawing>
      </w:r>
    </w:p>
    <w:p w14:paraId="4A58646D"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2336" behindDoc="1" locked="0" layoutInCell="1" allowOverlap="1" wp14:anchorId="3A3F29C9" wp14:editId="0851E964">
            <wp:simplePos x="0" y="0"/>
            <wp:positionH relativeFrom="column">
              <wp:posOffset>3992880</wp:posOffset>
            </wp:positionH>
            <wp:positionV relativeFrom="paragraph">
              <wp:posOffset>10160</wp:posOffset>
            </wp:positionV>
            <wp:extent cx="1962150" cy="606425"/>
            <wp:effectExtent l="0" t="0" r="0" b="3175"/>
            <wp:wrapTight wrapText="bothSides">
              <wp:wrapPolygon edited="0">
                <wp:start x="0" y="0"/>
                <wp:lineTo x="0" y="20356"/>
                <wp:lineTo x="7969" y="21035"/>
                <wp:lineTo x="21390" y="21035"/>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2E0E7B" w:rsidRDefault="002E0E7B">
      <w:pPr>
        <w:autoSpaceDE w:val="0"/>
        <w:autoSpaceDN w:val="0"/>
        <w:adjustRightInd w:val="0"/>
        <w:ind w:left="0" w:firstLine="0"/>
        <w:rPr>
          <w:rFonts w:cs="Calibri,Bold"/>
          <w:b/>
          <w:bCs/>
          <w:sz w:val="28"/>
          <w:szCs w:val="28"/>
        </w:rPr>
      </w:pPr>
    </w:p>
    <w:p w14:paraId="59F21293" w14:textId="2850D308" w:rsidR="000250FA" w:rsidRDefault="00031C5B" w:rsidP="000250FA">
      <w:pPr>
        <w:autoSpaceDE w:val="0"/>
        <w:autoSpaceDN w:val="0"/>
        <w:adjustRightInd w:val="0"/>
        <w:ind w:left="0" w:firstLine="0"/>
        <w:rPr>
          <w:rFonts w:cs="Calibri,Bold"/>
          <w:b/>
          <w:bCs/>
          <w:sz w:val="28"/>
          <w:szCs w:val="28"/>
        </w:rPr>
      </w:pPr>
      <w:r>
        <w:rPr>
          <w:rFonts w:cs="Calibri,Bold"/>
          <w:b/>
          <w:bCs/>
          <w:sz w:val="28"/>
          <w:szCs w:val="28"/>
        </w:rPr>
        <w:lastRenderedPageBreak/>
        <w:t>This policy should be read in conjunction wit</w:t>
      </w:r>
      <w:r w:rsidR="000250FA">
        <w:rPr>
          <w:rFonts w:cs="Calibri,Bold"/>
          <w:b/>
          <w:bCs/>
          <w:sz w:val="28"/>
          <w:szCs w:val="28"/>
        </w:rPr>
        <w:t>h the Child Protection and Safeguarding Policy and Safer Recruitment Policy.</w:t>
      </w:r>
    </w:p>
    <w:p w14:paraId="3FBCABF4" w14:textId="77777777" w:rsidR="000250FA" w:rsidRPr="000250FA" w:rsidRDefault="000250FA" w:rsidP="000250FA">
      <w:pPr>
        <w:autoSpaceDE w:val="0"/>
        <w:autoSpaceDN w:val="0"/>
        <w:adjustRightInd w:val="0"/>
        <w:ind w:left="0" w:firstLine="0"/>
        <w:rPr>
          <w:rFonts w:cs="Calibri,Bold"/>
          <w:b/>
          <w:bCs/>
          <w:sz w:val="28"/>
          <w:szCs w:val="28"/>
        </w:rPr>
      </w:pPr>
    </w:p>
    <w:p w14:paraId="36BF6F97" w14:textId="77777777" w:rsidR="000250FA" w:rsidRPr="000250FA" w:rsidRDefault="000250FA" w:rsidP="000250FA">
      <w:pPr>
        <w:spacing w:after="160" w:line="259" w:lineRule="auto"/>
        <w:ind w:left="0" w:firstLine="0"/>
        <w:rPr>
          <w:rFonts w:ascii="Trebuchet MS" w:eastAsia="Times New Roman" w:hAnsi="Trebuchet MS" w:cs="Calibri"/>
          <w:b/>
          <w:bCs/>
          <w:kern w:val="28"/>
          <w:sz w:val="26"/>
          <w:szCs w:val="26"/>
          <w:lang w:eastAsia="en-GB"/>
          <w14:ligatures w14:val="standard"/>
          <w14:cntxtAlts/>
        </w:rPr>
      </w:pPr>
      <w:bookmarkStart w:id="1" w:name="_Toc395177361"/>
      <w:bookmarkStart w:id="2" w:name="_Toc4069194"/>
      <w:bookmarkStart w:id="3" w:name="_Toc73544145"/>
      <w:bookmarkStart w:id="4" w:name="One"/>
      <w:r w:rsidRPr="000250FA">
        <w:rPr>
          <w:rFonts w:ascii="Trebuchet MS" w:eastAsia="Times New Roman" w:hAnsi="Trebuchet MS" w:cs="Calibri"/>
          <w:b/>
          <w:bCs/>
          <w:kern w:val="28"/>
          <w:sz w:val="26"/>
          <w:szCs w:val="26"/>
          <w:lang w:eastAsia="en-GB"/>
          <w14:ligatures w14:val="standard"/>
          <w14:cntxtAlts/>
        </w:rPr>
        <w:t>1. Introduction</w:t>
      </w:r>
      <w:bookmarkEnd w:id="1"/>
      <w:bookmarkEnd w:id="2"/>
      <w:bookmarkEnd w:id="3"/>
    </w:p>
    <w:p w14:paraId="6928B3B1"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bookmarkStart w:id="5" w:name="_Hlk69208997"/>
      <w:bookmarkEnd w:id="4"/>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is committed to working in accordance with Keeping Children Safe in Education, and the DBS Code of Practice, which require that the school makes available a copy of its Policy on the Recruitment of Ex-offenders to all job applicants.</w:t>
      </w:r>
    </w:p>
    <w:p w14:paraId="59828436"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 xml:space="preserve">This policy provides a framework within which the school will seek to ensure that all cases are assessed fairly, and on an individual basis.  </w:t>
      </w: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will not </w:t>
      </w:r>
      <w:r w:rsidRPr="000250FA">
        <w:rPr>
          <w:rFonts w:ascii="Trebuchet MS" w:eastAsia="Times New Roman" w:hAnsi="Trebuchet MS" w:cs="Arial"/>
          <w:kern w:val="28"/>
          <w:shd w:val="clear" w:color="auto" w:fill="FFFFFF"/>
          <w:lang w:eastAsia="en-GB"/>
          <w14:ligatures w14:val="standard"/>
          <w14:cntxtAlts/>
        </w:rPr>
        <w:t>discriminate because of a conviction or other information revealed.</w:t>
      </w:r>
    </w:p>
    <w:p w14:paraId="7F16EF91"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6" w:name="_Toc4069195"/>
      <w:bookmarkStart w:id="7" w:name="Two"/>
      <w:bookmarkStart w:id="8" w:name="_Toc73544146"/>
      <w:bookmarkStart w:id="9" w:name="_Toc88059283"/>
      <w:bookmarkStart w:id="10" w:name="_Toc88061857"/>
      <w:bookmarkEnd w:id="5"/>
    </w:p>
    <w:p w14:paraId="2DF199B8"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2. Scope</w:t>
      </w:r>
      <w:bookmarkEnd w:id="6"/>
      <w:bookmarkEnd w:id="7"/>
      <w:bookmarkEnd w:id="8"/>
      <w:bookmarkEnd w:id="9"/>
      <w:bookmarkEnd w:id="10"/>
    </w:p>
    <w:p w14:paraId="28A2EE0E"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p>
    <w:p w14:paraId="0D934A22"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This policy applies to all Employees, Members, Trustees and Governors of The Whinless Down Academy Trust.</w:t>
      </w:r>
    </w:p>
    <w:p w14:paraId="668FB2EC"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1" w:name="_Toc4069196"/>
      <w:bookmarkStart w:id="12" w:name="_Toc73544147"/>
      <w:bookmarkStart w:id="13" w:name="_Toc88059284"/>
      <w:bookmarkStart w:id="14" w:name="_Toc88061858"/>
      <w:bookmarkStart w:id="15" w:name="Three"/>
    </w:p>
    <w:p w14:paraId="31CFE6E5"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3. Adoption Arrangements and Date</w:t>
      </w:r>
      <w:bookmarkEnd w:id="11"/>
      <w:bookmarkEnd w:id="12"/>
      <w:bookmarkEnd w:id="13"/>
      <w:bookmarkEnd w:id="14"/>
    </w:p>
    <w:bookmarkEnd w:id="15"/>
    <w:p w14:paraId="0FD9ACE5" w14:textId="77777777" w:rsidR="000250FA" w:rsidRPr="000250FA" w:rsidRDefault="000250FA" w:rsidP="000250FA">
      <w:pPr>
        <w:ind w:left="0" w:firstLine="0"/>
        <w:contextualSpacing/>
        <w:rPr>
          <w:rFonts w:ascii="Trebuchet MS" w:eastAsia="Times New Roman" w:hAnsi="Trebuchet MS" w:cs="Arial"/>
          <w:lang w:val="en-US"/>
        </w:rPr>
      </w:pPr>
    </w:p>
    <w:p w14:paraId="2CCA8E88" w14:textId="4A23C21D"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 xml:space="preserve">This policy was adopted by the Trust Board of The </w:t>
      </w:r>
      <w:proofErr w:type="spellStart"/>
      <w:r w:rsidRPr="000250FA">
        <w:rPr>
          <w:rFonts w:ascii="Trebuchet MS" w:eastAsia="Times New Roman" w:hAnsi="Trebuchet MS" w:cs="Arial"/>
          <w:lang w:val="en-US"/>
        </w:rPr>
        <w:t>Whinless</w:t>
      </w:r>
      <w:proofErr w:type="spellEnd"/>
      <w:r w:rsidRPr="000250FA">
        <w:rPr>
          <w:rFonts w:ascii="Trebuchet MS" w:eastAsia="Times New Roman" w:hAnsi="Trebuchet MS" w:cs="Arial"/>
          <w:lang w:val="en-US"/>
        </w:rPr>
        <w:t xml:space="preserve"> Down Academy Trust</w:t>
      </w:r>
      <w:r w:rsidRPr="000250FA">
        <w:rPr>
          <w:rFonts w:ascii="Trebuchet MS" w:eastAsia="Times New Roman" w:hAnsi="Trebuchet MS" w:cs="Tahoma"/>
          <w:lang w:val="en-US"/>
        </w:rPr>
        <w:t xml:space="preserve"> </w:t>
      </w:r>
      <w:r>
        <w:rPr>
          <w:rFonts w:ascii="Trebuchet MS" w:eastAsia="Times New Roman" w:hAnsi="Trebuchet MS" w:cs="Arial"/>
          <w:lang w:val="en-US"/>
        </w:rPr>
        <w:t>in Spring 2022</w:t>
      </w:r>
      <w:r w:rsidRPr="000250FA">
        <w:rPr>
          <w:rFonts w:ascii="Trebuchet MS" w:eastAsia="Times New Roman" w:hAnsi="Trebuchet MS" w:cs="Arial"/>
          <w:lang w:val="en-US"/>
        </w:rPr>
        <w:t xml:space="preserve"> and supersedes any previous Employment of Ex-Offenders Policy.</w:t>
      </w:r>
    </w:p>
    <w:p w14:paraId="71CAB9DD" w14:textId="77777777" w:rsidR="000250FA" w:rsidRPr="000250FA" w:rsidRDefault="000250FA" w:rsidP="000250FA">
      <w:pPr>
        <w:ind w:left="0" w:firstLine="0"/>
        <w:contextualSpacing/>
        <w:rPr>
          <w:rFonts w:ascii="Trebuchet MS" w:eastAsia="Times New Roman" w:hAnsi="Trebuchet MS" w:cs="Arial"/>
          <w:lang w:val="en-US"/>
        </w:rPr>
      </w:pPr>
    </w:p>
    <w:p w14:paraId="094957E9"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will be reviewed by the Trust Board every 3 years or earlier if there is a need.</w:t>
      </w:r>
    </w:p>
    <w:p w14:paraId="5DBE4C9A" w14:textId="77777777" w:rsidR="000250FA" w:rsidRPr="000250FA" w:rsidRDefault="000250FA" w:rsidP="000250FA">
      <w:pPr>
        <w:ind w:left="0" w:firstLine="0"/>
        <w:contextualSpacing/>
        <w:rPr>
          <w:rFonts w:ascii="Trebuchet MS" w:eastAsia="Times New Roman" w:hAnsi="Trebuchet MS" w:cs="Arial"/>
          <w:lang w:val="en-US"/>
        </w:rPr>
      </w:pPr>
    </w:p>
    <w:p w14:paraId="688D8A4F"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The effectiveness of this policy will be monitored, evaluated, and reviewed by the Headteacher and Governing Body.</w:t>
      </w:r>
    </w:p>
    <w:p w14:paraId="18FFD4CA"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6" w:name="Four"/>
      <w:bookmarkStart w:id="17" w:name="_Toc4069197"/>
    </w:p>
    <w:p w14:paraId="299305ED"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8" w:name="_Toc88059285"/>
      <w:bookmarkStart w:id="19" w:name="_Toc88061859"/>
      <w:bookmarkStart w:id="20" w:name="_Toc73544148"/>
      <w:r w:rsidRPr="000250FA">
        <w:rPr>
          <w:rFonts w:ascii="Trebuchet MS" w:eastAsia="Futura-Medium" w:hAnsi="Trebuchet MS" w:cs="Futura-Medium"/>
          <w:b/>
          <w:bCs/>
          <w:sz w:val="26"/>
          <w:szCs w:val="26"/>
          <w:lang w:eastAsia="en-GB" w:bidi="en-GB"/>
        </w:rPr>
        <w:t>4. Background</w:t>
      </w:r>
      <w:bookmarkEnd w:id="18"/>
      <w:bookmarkEnd w:id="19"/>
    </w:p>
    <w:p w14:paraId="085725F3"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2578E62" w14:textId="77777777" w:rsidR="000250FA" w:rsidRPr="000250FA" w:rsidRDefault="000250FA" w:rsidP="000250FA">
      <w:pPr>
        <w:widowControl w:val="0"/>
        <w:autoSpaceDE w:val="0"/>
        <w:autoSpaceDN w:val="0"/>
        <w:ind w:left="0" w:firstLine="0"/>
        <w:outlineLvl w:val="1"/>
        <w:rPr>
          <w:rFonts w:ascii="Trebuchet MS" w:eastAsia="Calibri" w:hAnsi="Trebuchet MS" w:cs="Times New Roman"/>
          <w:shd w:val="clear" w:color="auto" w:fill="FFFFFF"/>
        </w:rPr>
      </w:pPr>
      <w:bookmarkStart w:id="21" w:name="_Toc88059286"/>
      <w:bookmarkStart w:id="22" w:name="_Toc88061860"/>
      <w:r w:rsidRPr="000250FA">
        <w:rPr>
          <w:rFonts w:ascii="Trebuchet MS" w:eastAsia="Calibri" w:hAnsi="Trebuchet MS" w:cs="Times New Roman"/>
          <w:shd w:val="clear" w:color="auto" w:fill="FFFFFF"/>
        </w:rPr>
        <w:t>The </w:t>
      </w:r>
      <w:hyperlink r:id="rId15" w:history="1">
        <w:r w:rsidRPr="000250FA">
          <w:rPr>
            <w:rFonts w:ascii="Trebuchet MS" w:eastAsia="Calibri" w:hAnsi="Trebuchet MS" w:cs="Times New Roman"/>
            <w:u w:val="single"/>
            <w:shd w:val="clear" w:color="auto" w:fill="FFFFFF"/>
          </w:rPr>
          <w:t>Rehabilitation of Offenders Act 1974</w:t>
        </w:r>
      </w:hyperlink>
      <w:r w:rsidRPr="000250FA">
        <w:rPr>
          <w:rFonts w:ascii="Trebuchet MS" w:eastAsia="Calibri" w:hAnsi="Trebuchet MS" w:cs="Times New Roman"/>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0250FA">
        <w:rPr>
          <w:rFonts w:ascii="Trebuchet MS" w:eastAsia="Calibri" w:hAnsi="Trebuchet MS" w:cs="Times New Roman"/>
          <w:shd w:val="clear" w:color="auto" w:fill="FFFFFF"/>
        </w:rPr>
        <w:t xml:space="preserve"> </w:t>
      </w:r>
    </w:p>
    <w:p w14:paraId="43FDF46F"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p>
    <w:p w14:paraId="00970DF6"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r w:rsidRPr="000250FA">
        <w:rPr>
          <w:rFonts w:ascii="Trebuchet MS" w:eastAsia="Calibri" w:hAnsi="Trebuchet MS" w:cs="Times New Roman"/>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3DFF3C5B"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03BB4C6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436F969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2AF1D489"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Further information on the Self-Declaration process for job applicants is contained in the main body of the Recruitment Guidance Notes.  Additional information can also be found at </w:t>
      </w:r>
      <w:hyperlink r:id="rId16" w:history="1">
        <w:r w:rsidRPr="000250FA">
          <w:rPr>
            <w:rFonts w:ascii="Trebuchet MS" w:eastAsia="Futura-Medium" w:hAnsi="Trebuchet MS" w:cs="Futura-Medium"/>
            <w:u w:val="single"/>
            <w:lang w:eastAsia="en-GB" w:bidi="en-GB"/>
          </w:rPr>
          <w:t>https://www.nacro.org.uk/criminal-record-support-service/support-for-employers/asking-about-criminal-records/?nowprocket=1</w:t>
        </w:r>
      </w:hyperlink>
    </w:p>
    <w:p w14:paraId="1A735AE5"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5672D5D6"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0E8259FF"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3" w:name="_Toc88059287"/>
      <w:bookmarkStart w:id="24" w:name="_Toc88061861"/>
      <w:r w:rsidRPr="000250FA">
        <w:rPr>
          <w:rFonts w:ascii="Trebuchet MS" w:eastAsia="Futura-Medium" w:hAnsi="Trebuchet MS" w:cs="Futura-Medium"/>
          <w:b/>
          <w:bCs/>
          <w:sz w:val="26"/>
          <w:szCs w:val="26"/>
          <w:lang w:eastAsia="en-GB" w:bidi="en-GB"/>
        </w:rPr>
        <w:t>5. Legal Requirements</w:t>
      </w:r>
      <w:bookmarkEnd w:id="23"/>
      <w:bookmarkEnd w:id="24"/>
      <w:r w:rsidRPr="000250FA">
        <w:rPr>
          <w:rFonts w:ascii="Trebuchet MS" w:eastAsia="Futura-Medium" w:hAnsi="Trebuchet MS" w:cs="Futura-Medium"/>
          <w:b/>
          <w:bCs/>
          <w:sz w:val="26"/>
          <w:szCs w:val="26"/>
          <w:lang w:eastAsia="en-GB" w:bidi="en-GB"/>
        </w:rPr>
        <w:t xml:space="preserve"> </w:t>
      </w:r>
      <w:bookmarkEnd w:id="16"/>
      <w:bookmarkEnd w:id="17"/>
      <w:bookmarkEnd w:id="20"/>
    </w:p>
    <w:p w14:paraId="39C34AA7"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413B94B"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5" w:name="_Toc88059288"/>
      <w:bookmarkStart w:id="26" w:name="_Toc88061862"/>
      <w:r w:rsidRPr="000250FA">
        <w:rPr>
          <w:rFonts w:ascii="Trebuchet MS" w:eastAsia="Futura-Medium" w:hAnsi="Trebuchet MS" w:cs="Futura-Medium"/>
          <w:b/>
          <w:bCs/>
          <w:sz w:val="26"/>
          <w:szCs w:val="26"/>
          <w:lang w:eastAsia="en-GB" w:bidi="en-GB"/>
        </w:rPr>
        <w:t>Keeping Children Safe in Education</w:t>
      </w:r>
      <w:bookmarkEnd w:id="25"/>
      <w:bookmarkEnd w:id="26"/>
      <w:r w:rsidRPr="000250FA">
        <w:rPr>
          <w:rFonts w:ascii="Trebuchet MS" w:eastAsia="Futura-Medium" w:hAnsi="Trebuchet MS" w:cs="Futura-Medium"/>
          <w:b/>
          <w:bCs/>
          <w:sz w:val="26"/>
          <w:szCs w:val="26"/>
          <w:lang w:eastAsia="en-GB" w:bidi="en-GB"/>
        </w:rPr>
        <w:t xml:space="preserve"> </w:t>
      </w:r>
    </w:p>
    <w:p w14:paraId="53B836CE" w14:textId="77777777" w:rsidR="000250FA" w:rsidRPr="000250FA" w:rsidRDefault="000250FA" w:rsidP="000250FA">
      <w:pPr>
        <w:spacing w:after="120" w:line="285" w:lineRule="auto"/>
        <w:ind w:left="0" w:firstLine="0"/>
        <w:jc w:val="both"/>
        <w:rPr>
          <w:rFonts w:ascii="Trebuchet MS" w:eastAsia="Times New Roman" w:hAnsi="Trebuchet MS" w:cs="Arial"/>
          <w:kern w:val="28"/>
          <w:sz w:val="20"/>
          <w:szCs w:val="20"/>
          <w:lang w:eastAsia="en-GB"/>
          <w14:ligatures w14:val="standard"/>
          <w14:cntxtAlts/>
        </w:rPr>
      </w:pPr>
    </w:p>
    <w:p w14:paraId="5D1B5E64"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Keeping Children Safe in Education gives statutory guidance and states:</w:t>
      </w:r>
    </w:p>
    <w:p w14:paraId="7E010F32" w14:textId="77777777" w:rsidR="000250FA" w:rsidRPr="000250FA" w:rsidRDefault="000250FA" w:rsidP="000250FA">
      <w:pPr>
        <w:numPr>
          <w:ilvl w:val="0"/>
          <w:numId w:val="12"/>
        </w:numPr>
        <w:spacing w:after="160" w:line="259" w:lineRule="auto"/>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W</w:t>
      </w:r>
      <w:r w:rsidRPr="000250FA">
        <w:rPr>
          <w:rFonts w:ascii="Trebuchet MS" w:eastAsia="Calibri" w:hAnsi="Trebuchet MS" w:cs="Calibri"/>
          <w:kern w:val="28"/>
          <w:lang w:eastAsia="en-GB"/>
          <w14:ligatures w14:val="standard"/>
          <w14:cntxtAlts/>
        </w:rPr>
        <w:t>here a role involves engaging in regulated activity relevant to children, schools and colleges should include a statement in the application form</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or elsewhere in the information provided to applicants</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that it is an offence to apply for the role if the applicant is barred from engaging in regulated activity relevant to children.</w:t>
      </w:r>
    </w:p>
    <w:p w14:paraId="09B0EE73"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also provide a copy of the school’s or college’s child protection policy and practices and policy on employment of ex-offenders in the application pack or refer to a link on its website.</w:t>
      </w:r>
    </w:p>
    <w:p w14:paraId="63B859DD"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325C53F2"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p>
    <w:p w14:paraId="1B0D2A88"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r w:rsidRPr="000250FA">
        <w:rPr>
          <w:rFonts w:ascii="Trebuchet MS" w:eastAsia="Times New Roman" w:hAnsi="Trebuchet MS" w:cs="Calibri"/>
          <w:b/>
          <w:bCs/>
          <w:kern w:val="28"/>
          <w:sz w:val="26"/>
          <w:szCs w:val="26"/>
          <w:lang w:eastAsia="en-GB"/>
          <w14:ligatures w14:val="standard"/>
          <w14:cntxtAlts/>
        </w:rPr>
        <w:t>DBS Code of Conduct</w:t>
      </w:r>
    </w:p>
    <w:p w14:paraId="63255F0C" w14:textId="77777777" w:rsidR="000250FA" w:rsidRPr="000250FA" w:rsidRDefault="000250FA" w:rsidP="000250FA">
      <w:pPr>
        <w:shd w:val="clear" w:color="auto" w:fill="FFFFFF"/>
        <w:spacing w:before="300" w:after="300" w:line="285" w:lineRule="auto"/>
        <w:ind w:left="0" w:firstLine="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780DE80" w14:textId="57B4B58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4AA4BECE" w14:textId="5568FE1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7E790D1" w14:textId="1040BC3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E80FB5F" w14:textId="5FD6AF0D"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A065FC9" w14:textId="1D255AF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D1E5938" w14:textId="31B22E6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BAA9802" w14:textId="27EFF37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B5BD062" w14:textId="2280D8FC"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410F0AC" w14:textId="3440B341"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129A3C6" w14:textId="747F70C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816431B" w14:textId="685D0088"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2EA54F2"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5E4B8E7" w14:textId="77777777" w:rsidR="000250FA" w:rsidRPr="000250FA" w:rsidRDefault="000250FA" w:rsidP="000250FA">
      <w:pPr>
        <w:spacing w:after="120" w:line="285" w:lineRule="auto"/>
        <w:ind w:left="0" w:firstLine="0"/>
        <w:outlineLvl w:val="1"/>
        <w:rPr>
          <w:rFonts w:ascii="Trebuchet MS" w:eastAsia="Times New Roman" w:hAnsi="Trebuchet MS" w:cs="Calibri"/>
          <w:b/>
          <w:kern w:val="28"/>
          <w:sz w:val="26"/>
          <w:szCs w:val="26"/>
          <w:lang w:eastAsia="en-GB"/>
          <w14:ligatures w14:val="standard"/>
          <w14:cntxtAlts/>
        </w:rPr>
      </w:pPr>
      <w:bookmarkStart w:id="27" w:name="_Toc73544149"/>
      <w:bookmarkStart w:id="28" w:name="_Toc88059289"/>
      <w:bookmarkStart w:id="29" w:name="_Toc88061863"/>
      <w:r w:rsidRPr="000250FA">
        <w:rPr>
          <w:rFonts w:ascii="Trebuchet MS" w:eastAsia="Times New Roman" w:hAnsi="Trebuchet MS" w:cs="Calibri"/>
          <w:b/>
          <w:kern w:val="28"/>
          <w:sz w:val="26"/>
          <w:szCs w:val="26"/>
          <w:lang w:eastAsia="en-GB"/>
          <w14:ligatures w14:val="standard"/>
          <w14:cntxtAlts/>
        </w:rPr>
        <w:t>5</w:t>
      </w:r>
      <w:bookmarkStart w:id="30" w:name="_Toc73544150"/>
      <w:bookmarkEnd w:id="27"/>
      <w:r w:rsidRPr="000250FA">
        <w:rPr>
          <w:rFonts w:ascii="Trebuchet MS" w:eastAsia="Times New Roman" w:hAnsi="Trebuchet MS" w:cs="Calibri"/>
          <w:b/>
          <w:kern w:val="28"/>
          <w:sz w:val="26"/>
          <w:szCs w:val="26"/>
          <w:lang w:eastAsia="en-GB"/>
          <w14:ligatures w14:val="standard"/>
          <w14:cntxtAlts/>
        </w:rPr>
        <w:t xml:space="preserve">. </w:t>
      </w:r>
      <w:bookmarkEnd w:id="30"/>
      <w:r w:rsidRPr="000250FA">
        <w:rPr>
          <w:rFonts w:ascii="Trebuchet MS" w:eastAsia="Times New Roman" w:hAnsi="Trebuchet MS" w:cs="Calibri"/>
          <w:b/>
          <w:kern w:val="28"/>
          <w:sz w:val="26"/>
          <w:szCs w:val="26"/>
          <w:lang w:eastAsia="en-GB"/>
          <w14:ligatures w14:val="standard"/>
          <w14:cntxtAlts/>
        </w:rPr>
        <w:t>Policy Statement</w:t>
      </w:r>
      <w:bookmarkEnd w:id="28"/>
      <w:bookmarkEnd w:id="29"/>
    </w:p>
    <w:p w14:paraId="1DC8FCC5" w14:textId="6176D2AF"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As an organisation assessing applicants’ suitability for positions which are included in the Rehabilitation of Offenders Act 1974 (Exceptions) Order using criminal record checks processed through the Disclosure and Barring Service (DBS),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comply fully with the DBS </w:t>
      </w:r>
      <w:hyperlink r:id="rId17"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undertakes to treat all applicants for positions fairly.</w:t>
      </w:r>
    </w:p>
    <w:p w14:paraId="072243C2" w14:textId="059271B9"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not to discriminate unfairly against any subject of a criminal record check on the basis of a conviction or other information revealed.</w:t>
      </w:r>
    </w:p>
    <w:p w14:paraId="0E6F9486" w14:textId="03555DF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only ask an individual to provide details of convictions and cautions that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65F62A1" w14:textId="58E0CB3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can only ask an individual about convictions and cautions that are not protected.</w:t>
      </w:r>
    </w:p>
    <w:p w14:paraId="74DB6775" w14:textId="7088F543"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is committed to the fair treatment of its staff, potential staff, or users of its services, regardless of race, gender, religion, sexual orientation, responsibilities for dependants, age, physical/mental disability, or offending background.</w:t>
      </w:r>
    </w:p>
    <w:p w14:paraId="11DDD728" w14:textId="71A02BD8"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make this written policy on the recruitment of ex-offenders available to all DBS applicants at the start of the recruitment process.</w:t>
      </w:r>
    </w:p>
    <w:p w14:paraId="7026AC25" w14:textId="5FBF139D"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actively promotes equality of opportunity for all with the right mix of talent, skills, and potential and welcome applications from a wide range of candidates, including those with criminal records.</w:t>
      </w:r>
    </w:p>
    <w:p w14:paraId="113C7B19" w14:textId="4250F5B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select all candidates for interview based on their skills, qualifications, and experience.</w:t>
      </w:r>
    </w:p>
    <w:p w14:paraId="547E8631" w14:textId="6D84BACE"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4EEDD3F"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all employees involved in the recruitment process have been suitably trained to identify and assess the relevance and circumstances of offences using information available at www.nacro.org.uk</w:t>
      </w:r>
    </w:p>
    <w:p w14:paraId="2AAA6C64" w14:textId="77777777" w:rsidR="000250FA" w:rsidRPr="000250FA" w:rsidRDefault="000250FA" w:rsidP="000250FA">
      <w:pPr>
        <w:shd w:val="clear" w:color="auto" w:fill="FFFFFF"/>
        <w:spacing w:after="120" w:line="285" w:lineRule="auto"/>
        <w:ind w:left="1020" w:firstLine="0"/>
        <w:rPr>
          <w:rFonts w:ascii="Trebuchet MS" w:eastAsia="Times New Roman" w:hAnsi="Trebuchet MS" w:cs="Arial"/>
          <w:kern w:val="28"/>
          <w:lang w:eastAsia="en-GB"/>
          <w14:ligatures w14:val="standard"/>
          <w14:cntxtAlts/>
        </w:rPr>
      </w:pPr>
    </w:p>
    <w:p w14:paraId="7831B350" w14:textId="68536A3C"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lastRenderedPageBreak/>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also ensures that employees have received appropriate guidance and training in the relevant legislation relating to the employment of ex-offenders, e.g., the Rehabilitation of Offenders Act 1974.</w:t>
      </w:r>
    </w:p>
    <w:p w14:paraId="436D12E7" w14:textId="7A446334"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At interview, or in a separate discussion,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ADCEE35" w14:textId="32DD5C9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makes every subject of a criminal record check submitted to DBS aware of the existence of the </w:t>
      </w:r>
      <w:hyperlink r:id="rId18"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makes a copy available on request.</w:t>
      </w:r>
    </w:p>
    <w:p w14:paraId="38AB613D"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to discuss any matter revealed on a DBS certificate with the individual seeking the position before withdrawing a conditional offer of employment.</w:t>
      </w:r>
    </w:p>
    <w:p w14:paraId="21BE2FE9" w14:textId="77777777" w:rsidR="000250FA" w:rsidRPr="000250FA" w:rsidRDefault="000250FA" w:rsidP="000250FA">
      <w:pPr>
        <w:spacing w:after="120" w:line="285" w:lineRule="auto"/>
        <w:ind w:left="0" w:firstLine="0"/>
        <w:rPr>
          <w:rFonts w:ascii="Trebuchet MS" w:eastAsia="Times New Roman" w:hAnsi="Trebuchet MS" w:cs="Arial"/>
          <w:kern w:val="28"/>
          <w:lang w:eastAsia="en-GB"/>
          <w14:ligatures w14:val="standard"/>
          <w14:cntxtAlts/>
        </w:rPr>
      </w:pPr>
    </w:p>
    <w:p w14:paraId="7F6C6E98" w14:textId="49E3305E" w:rsidR="000250FA" w:rsidRPr="000250FA" w:rsidRDefault="000250FA">
      <w:pPr>
        <w:autoSpaceDE w:val="0"/>
        <w:autoSpaceDN w:val="0"/>
        <w:adjustRightInd w:val="0"/>
        <w:ind w:left="0" w:firstLine="0"/>
        <w:rPr>
          <w:rFonts w:cs="Calibri,Bold"/>
          <w:b/>
          <w:bCs/>
          <w:sz w:val="28"/>
          <w:szCs w:val="28"/>
          <w:u w:val="single"/>
        </w:rPr>
      </w:pPr>
      <w:r>
        <w:rPr>
          <w:rFonts w:cs="Calibri,Bold"/>
          <w:b/>
          <w:bCs/>
          <w:sz w:val="28"/>
          <w:szCs w:val="28"/>
          <w:u w:val="single"/>
        </w:rPr>
        <w:t>Review Date Spring 2025</w:t>
      </w:r>
    </w:p>
    <w:p w14:paraId="49AC1F63" w14:textId="77777777" w:rsidR="000250FA" w:rsidRDefault="000250FA">
      <w:pPr>
        <w:autoSpaceDE w:val="0"/>
        <w:autoSpaceDN w:val="0"/>
        <w:adjustRightInd w:val="0"/>
        <w:ind w:left="0" w:firstLine="0"/>
        <w:rPr>
          <w:rFonts w:cs="Calibri,Bold"/>
          <w:b/>
          <w:bCs/>
          <w:sz w:val="28"/>
          <w:szCs w:val="28"/>
        </w:rPr>
      </w:pPr>
    </w:p>
    <w:sectPr w:rsidR="000250FA">
      <w:footerReference w:type="default" r:id="rId19"/>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0851" w14:textId="77777777" w:rsidR="00441431" w:rsidRDefault="00441431">
      <w:r>
        <w:separator/>
      </w:r>
    </w:p>
  </w:endnote>
  <w:endnote w:type="continuationSeparator" w:id="0">
    <w:p w14:paraId="6EFAC06D" w14:textId="77777777" w:rsidR="00441431" w:rsidRDefault="004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Arial"/>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43113"/>
      <w:docPartObj>
        <w:docPartGallery w:val="Page Numbers (Bottom of Page)"/>
        <w:docPartUnique/>
      </w:docPartObj>
    </w:sdtPr>
    <w:sdtEndPr>
      <w:rPr>
        <w:noProof/>
      </w:rPr>
    </w:sdtEndPr>
    <w:sdtContent>
      <w:p w14:paraId="6A7AB741" w14:textId="294A6FE5" w:rsidR="005F4411" w:rsidRDefault="005F4411">
        <w:pPr>
          <w:pStyle w:val="Footer"/>
          <w:jc w:val="center"/>
        </w:pPr>
        <w:r>
          <w:fldChar w:fldCharType="begin"/>
        </w:r>
        <w:r>
          <w:instrText xml:space="preserve"> PAGE   \* MERGEFORMAT </w:instrText>
        </w:r>
        <w:r>
          <w:fldChar w:fldCharType="separate"/>
        </w:r>
        <w:r w:rsidR="000250FA">
          <w:rPr>
            <w:noProof/>
          </w:rPr>
          <w:t>5</w:t>
        </w:r>
        <w:r>
          <w:rPr>
            <w:noProof/>
          </w:rPr>
          <w:fldChar w:fldCharType="end"/>
        </w:r>
      </w:p>
    </w:sdtContent>
  </w:sdt>
  <w:p w14:paraId="3254BC2F" w14:textId="77777777" w:rsidR="005F4411" w:rsidRDefault="005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82CB" w14:textId="77777777" w:rsidR="00441431" w:rsidRDefault="00441431">
      <w:r>
        <w:separator/>
      </w:r>
    </w:p>
  </w:footnote>
  <w:footnote w:type="continuationSeparator" w:id="0">
    <w:p w14:paraId="29822FF1" w14:textId="77777777" w:rsidR="00441431" w:rsidRDefault="0044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452"/>
    <w:multiLevelType w:val="hybridMultilevel"/>
    <w:tmpl w:val="3D9CEF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396404"/>
    <w:multiLevelType w:val="hybridMultilevel"/>
    <w:tmpl w:val="A8E60D8C"/>
    <w:lvl w:ilvl="0" w:tplc="DA0EC590">
      <w:start w:val="2"/>
      <w:numFmt w:val="bullet"/>
      <w:lvlText w:val=""/>
      <w:lvlJc w:val="left"/>
      <w:pPr>
        <w:ind w:left="1191"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CDC"/>
    <w:multiLevelType w:val="hybridMultilevel"/>
    <w:tmpl w:val="BB869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F3867"/>
    <w:multiLevelType w:val="multilevel"/>
    <w:tmpl w:val="D772E0C6"/>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4" w15:restartNumberingAfterBreak="0">
    <w:nsid w:val="2F8D7F70"/>
    <w:multiLevelType w:val="hybridMultilevel"/>
    <w:tmpl w:val="CEECE8B0"/>
    <w:lvl w:ilvl="0" w:tplc="6AF23B2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64125"/>
    <w:multiLevelType w:val="hybridMultilevel"/>
    <w:tmpl w:val="E15C137E"/>
    <w:lvl w:ilvl="0" w:tplc="08090017">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6004520D"/>
    <w:multiLevelType w:val="hybridMultilevel"/>
    <w:tmpl w:val="ACB66186"/>
    <w:lvl w:ilvl="0" w:tplc="DA0EC590">
      <w:start w:val="2"/>
      <w:numFmt w:val="bullet"/>
      <w:lvlText w:val=""/>
      <w:lvlJc w:val="left"/>
      <w:pPr>
        <w:ind w:left="1191" w:hanging="360"/>
      </w:pPr>
      <w:rPr>
        <w:rFonts w:ascii="Symbol" w:eastAsiaTheme="minorHAnsi" w:hAnsi="Symbol" w:cstheme="minorBidi" w:hint="default"/>
      </w:rPr>
    </w:lvl>
    <w:lvl w:ilvl="1" w:tplc="08090003">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69A120AE"/>
    <w:multiLevelType w:val="hybridMultilevel"/>
    <w:tmpl w:val="ED90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B85"/>
    <w:multiLevelType w:val="hybridMultilevel"/>
    <w:tmpl w:val="6AF24148"/>
    <w:lvl w:ilvl="0" w:tplc="08090017">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D17A5D"/>
    <w:multiLevelType w:val="hybridMultilevel"/>
    <w:tmpl w:val="339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0E9"/>
    <w:multiLevelType w:val="hybridMultilevel"/>
    <w:tmpl w:val="73782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2"/>
  </w:num>
  <w:num w:numId="7">
    <w:abstractNumId w:val="4"/>
  </w:num>
  <w:num w:numId="8">
    <w:abstractNumId w:val="8"/>
  </w:num>
  <w:num w:numId="9">
    <w:abstractNumId w:val="11"/>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7B"/>
    <w:rsid w:val="000250FA"/>
    <w:rsid w:val="00031C5B"/>
    <w:rsid w:val="000A5FCC"/>
    <w:rsid w:val="000A648C"/>
    <w:rsid w:val="001075B9"/>
    <w:rsid w:val="001C6A81"/>
    <w:rsid w:val="00275003"/>
    <w:rsid w:val="002E05ED"/>
    <w:rsid w:val="002E0E7B"/>
    <w:rsid w:val="003615B5"/>
    <w:rsid w:val="003C34AB"/>
    <w:rsid w:val="00441431"/>
    <w:rsid w:val="004A515B"/>
    <w:rsid w:val="00527170"/>
    <w:rsid w:val="005F4411"/>
    <w:rsid w:val="00663875"/>
    <w:rsid w:val="007A679D"/>
    <w:rsid w:val="009276FE"/>
    <w:rsid w:val="00991812"/>
    <w:rsid w:val="00CD6A62"/>
    <w:rsid w:val="00E23A7C"/>
    <w:rsid w:val="00F6084E"/>
    <w:rsid w:val="0FAB68E6"/>
    <w:rsid w:val="6C2DB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7C"/>
  <w15:docId w15:val="{911B6CD9-5587-4688-9BFE-65CB3EC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support-for-employers/asking-about-criminal-records/?nowprocke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3bx16p38bchl32s0e12di03h-wpengine.netdna-ssl.com/wp-content/uploads/2014/07/Rehabilitation-of-Offenders-Act-1974-Guide-201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C1AEE89408744BEEB1A2BF6C86528" ma:contentTypeVersion="14" ma:contentTypeDescription="Create a new document." ma:contentTypeScope="" ma:versionID="489c14fcb53655066d8df85dd45c877b">
  <xsd:schema xmlns:xsd="http://www.w3.org/2001/XMLSchema" xmlns:xs="http://www.w3.org/2001/XMLSchema" xmlns:p="http://schemas.microsoft.com/office/2006/metadata/properties" xmlns:ns3="df31783f-fda3-4d8a-888d-93ab9d968a30" xmlns:ns4="703cb61d-b04b-44da-ab09-9b2bdd520897" targetNamespace="http://schemas.microsoft.com/office/2006/metadata/properties" ma:root="true" ma:fieldsID="c35f5df2450b47bf758d1769b0a4e06c" ns3:_="" ns4:_="">
    <xsd:import namespace="df31783f-fda3-4d8a-888d-93ab9d968a30"/>
    <xsd:import namespace="703cb61d-b04b-44da-ab09-9b2bdd520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783f-fda3-4d8a-888d-93ab9d968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b61d-b04b-44da-ab09-9b2bdd5208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31783f-fda3-4d8a-888d-93ab9d968a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A46AC-3C6E-479C-A520-921DEB3FE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783f-fda3-4d8a-888d-93ab9d968a30"/>
    <ds:schemaRef ds:uri="703cb61d-b04b-44da-ab09-9b2bdd520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DB6FE-8078-4831-A38C-21F4232769AD}">
  <ds:schemaRefs>
    <ds:schemaRef ds:uri="http://schemas.microsoft.com/sharepoint/v3/contenttype/forms"/>
  </ds:schemaRefs>
</ds:datastoreItem>
</file>

<file path=customXml/itemProps3.xml><?xml version="1.0" encoding="utf-8"?>
<ds:datastoreItem xmlns:ds="http://schemas.openxmlformats.org/officeDocument/2006/customXml" ds:itemID="{2C42C782-DB7D-426B-B3F6-51370665E8B8}">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703cb61d-b04b-44da-ab09-9b2bdd520897"/>
    <ds:schemaRef ds:uri="df31783f-fda3-4d8a-888d-93ab9d968a30"/>
    <ds:schemaRef ds:uri="http://purl.org/dc/dcmitype/"/>
  </ds:schemaRefs>
</ds:datastoreItem>
</file>

<file path=customXml/itemProps4.xml><?xml version="1.0" encoding="utf-8"?>
<ds:datastoreItem xmlns:ds="http://schemas.openxmlformats.org/officeDocument/2006/customXml" ds:itemID="{2A0D7D0B-5DB7-4DBA-BD1A-42E7C5B9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Siggins</dc:creator>
  <cp:lastModifiedBy>8862531 Sbm</cp:lastModifiedBy>
  <cp:revision>2</cp:revision>
  <cp:lastPrinted>2018-10-19T15:05:00Z</cp:lastPrinted>
  <dcterms:created xsi:type="dcterms:W3CDTF">2023-02-24T10:36:00Z</dcterms:created>
  <dcterms:modified xsi:type="dcterms:W3CDTF">2023-02-24T10:36:00Z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0x010100BC8C1AEE89408744BEEB1A2BF6C86528</vt:lpwstr>
  </property>
</Properties>
</file>