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5D776" w14:textId="2D7EE0D5" w:rsidR="00831A2B" w:rsidRDefault="00581D90" w:rsidP="00693DE4">
      <w:pPr>
        <w:pStyle w:val="Title"/>
        <w:tabs>
          <w:tab w:val="left" w:pos="142"/>
        </w:tabs>
      </w:pPr>
      <w:bookmarkStart w:id="0" w:name="_GoBack"/>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86593" w:rsidRPr="008531EB">
        <w:t>Timu 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1" w:name="_Toc504668315"/>
      <w:bookmarkStart w:id="2" w:name="_Toc504678111"/>
      <w:r w:rsidRPr="008531EB">
        <w:t>What is personal information and what does processing mean?</w:t>
      </w:r>
      <w:bookmarkEnd w:id="1"/>
      <w:bookmarkEnd w:id="2"/>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Special categories of personal data means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3" w:name="_Toc504668316"/>
      <w:bookmarkStart w:id="4" w:name="_Toc504678112"/>
      <w:r w:rsidRPr="008531EB">
        <w:t>Data protection principles</w:t>
      </w:r>
      <w:bookmarkEnd w:id="3"/>
      <w:bookmarkEnd w:id="4"/>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We process personal data only where it is adequate, relevant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We adopt appropriate measures to make sure that personal data is secure, and protected against unauthorised or unlawful processing, accidental loss, destruction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5" w:name="_Toc504668317"/>
      <w:bookmarkStart w:id="6" w:name="_Toc504678113"/>
      <w:r w:rsidRPr="008531EB">
        <w:lastRenderedPageBreak/>
        <w:t>Our legal basis (grounds) for using your personal data</w:t>
      </w:r>
      <w:bookmarkEnd w:id="5"/>
      <w:bookmarkEnd w:id="6"/>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You are under no obligation to provide your consent to provide data to the school during the recruitment process. If you do not consent to the school holding, processing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7" w:name="_Toc504668324"/>
      <w:bookmarkStart w:id="8" w:name="_Toc504678125"/>
      <w:r w:rsidRPr="008531EB">
        <w:t xml:space="preserve">Why do we collect and process </w:t>
      </w:r>
      <w:r w:rsidR="009B7DB1">
        <w:t>applicants’</w:t>
      </w:r>
      <w:r w:rsidRPr="008531EB">
        <w:t xml:space="preserve"> personal data?</w:t>
      </w:r>
      <w:bookmarkEnd w:id="7"/>
      <w:bookmarkEnd w:id="8"/>
    </w:p>
    <w:p w14:paraId="46B54207" w14:textId="77777777" w:rsidR="009B7DB1" w:rsidRPr="009B7DB1" w:rsidRDefault="009B7DB1" w:rsidP="009B7DB1">
      <w:pPr>
        <w:pStyle w:val="Heading1"/>
        <w:spacing w:before="0"/>
        <w:rPr>
          <w:b w:val="0"/>
        </w:rPr>
      </w:pPr>
      <w:bookmarkStart w:id="9" w:name="_Toc504668325"/>
      <w:bookmarkStart w:id="10"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r w:rsidRPr="009B7DB1">
        <w:t>Enter into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What data do we hold on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9"/>
      <w:bookmarkEnd w:id="10"/>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meetings or other assessments as part of the recruitment process.</w:t>
      </w:r>
    </w:p>
    <w:p w14:paraId="58140DD0" w14:textId="77777777" w:rsidR="009B7DB1" w:rsidRPr="00922743" w:rsidRDefault="009B7DB1" w:rsidP="009B7DB1">
      <w:bookmarkStart w:id="11" w:name="_Toc504668326"/>
      <w:bookmarkStart w:id="12"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r w:rsidRPr="00922743">
        <w:t>consent</w:t>
      </w:r>
      <w:r>
        <w:t>,</w:t>
      </w:r>
      <w:r w:rsidRPr="00922743">
        <w:t xml:space="preserve"> unless the law or our policies allows us to.</w:t>
      </w:r>
    </w:p>
    <w:p w14:paraId="312C3950" w14:textId="77777777" w:rsidR="009B7DB1" w:rsidRPr="00922743" w:rsidRDefault="009B7DB1" w:rsidP="009B7DB1">
      <w:r>
        <w:lastRenderedPageBreak/>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so that they are able to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1"/>
      <w:bookmarkEnd w:id="12"/>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in order for them to perform their roles. This can include sharing personal data with the senior leadership team, governors, trustees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3" w:name="_Toc504668337"/>
      <w:bookmarkStart w:id="14" w:name="_Toc504678139"/>
      <w:r w:rsidRPr="008531EB">
        <w:t>Sending information to other countries</w:t>
      </w:r>
      <w:bookmarkEnd w:id="13"/>
      <w:bookmarkEnd w:id="14"/>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EU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5" w:name="_Toc504668332"/>
      <w:bookmarkStart w:id="16" w:name="_Toc504678133"/>
      <w:r w:rsidRPr="008531EB">
        <w:t>Automated decision-making and profiling</w:t>
      </w:r>
      <w:bookmarkEnd w:id="15"/>
      <w:bookmarkEnd w:id="16"/>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7" w:name="_Toc504668334"/>
      <w:bookmarkStart w:id="18" w:name="_Toc504678135"/>
      <w:r w:rsidRPr="008531EB">
        <w:t>Special categories of personal data</w:t>
      </w:r>
      <w:bookmarkEnd w:id="17"/>
      <w:bookmarkEnd w:id="18"/>
    </w:p>
    <w:p w14:paraId="0C211A08" w14:textId="77777777" w:rsidR="008531EB" w:rsidRPr="008531EB" w:rsidRDefault="008531EB" w:rsidP="008531EB">
      <w:r w:rsidRPr="008531EB">
        <w:t>We must also comply with an additional condition where we process special categories of personal data. These special categories include: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Legal claims. The processing is necessary for the establishment, exercise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9" w:name="_Toc504668336"/>
      <w:bookmarkStart w:id="20" w:name="_Toc504678137"/>
      <w:r w:rsidRPr="008531EB">
        <w:t>How do we protect individuals’ personal data?</w:t>
      </w:r>
      <w:bookmarkEnd w:id="19"/>
      <w:bookmarkEnd w:id="20"/>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misused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1" w:name="_Toc504668339"/>
      <w:bookmarkStart w:id="22" w:name="_Toc504678141"/>
      <w:r w:rsidRPr="008531EB">
        <w:t>How long do we keep your personal data?</w:t>
      </w:r>
      <w:bookmarkEnd w:id="21"/>
      <w:bookmarkEnd w:id="22"/>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77777777" w:rsidR="00DA0F7F" w:rsidRPr="00DA0F7F" w:rsidRDefault="00DA0F7F" w:rsidP="00DA0F7F">
      <w:r w:rsidRPr="00DA0F7F">
        <w:lastRenderedPageBreak/>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981B18" w:rsidRPr="00C2029C">
          <w:rPr>
            <w:rStyle w:val="Hyperlink"/>
          </w:rPr>
          <w:t>DPO@timuacademytrust.org.uk</w:t>
        </w:r>
      </w:hyperlink>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time period has expired, your data will be deleted or destroyed. </w:t>
      </w:r>
    </w:p>
    <w:p w14:paraId="2E9CAE66" w14:textId="77777777" w:rsidR="008531EB" w:rsidRPr="008531EB" w:rsidRDefault="008531EB" w:rsidP="00076163">
      <w:pPr>
        <w:pStyle w:val="Heading1"/>
      </w:pPr>
      <w:bookmarkStart w:id="23" w:name="_Toc504668341"/>
      <w:bookmarkStart w:id="24" w:name="_Toc504678143"/>
      <w:r w:rsidRPr="008531EB">
        <w:t>What rights do you have in relation to your information?</w:t>
      </w:r>
      <w:bookmarkEnd w:id="23"/>
      <w:bookmarkEnd w:id="24"/>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If you have a concern about the way we are collecting or using your personal data, we ask that you raise your concern with us in the first instance by contacting the Data Protection Officer. If you would like to exercise any of the above rights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default" r:id="rId16"/>
      <w:footerReference w:type="default" r:id="rId17"/>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AF34" w14:textId="20BED454" w:rsidR="005E6876" w:rsidRPr="00D40D8A" w:rsidRDefault="005E6876">
    <w:pPr>
      <w:pStyle w:val="Footer"/>
      <w:rPr>
        <w:sz w:val="20"/>
      </w:rPr>
    </w:pPr>
    <w:r w:rsidRPr="00D40D8A">
      <w:rPr>
        <w:sz w:val="20"/>
      </w:rPr>
      <w:t>Timu Academy Trust</w:t>
    </w:r>
    <w:r w:rsidRPr="00D40D8A">
      <w:rPr>
        <w:sz w:val="20"/>
      </w:rPr>
      <w:tab/>
    </w:r>
    <w:r w:rsidRPr="00D40D8A">
      <w:rPr>
        <w:sz w:val="20"/>
      </w:rPr>
      <w:tab/>
    </w:r>
    <w:r w:rsidRPr="00D40D8A">
      <w:rPr>
        <w:sz w:val="20"/>
      </w:rPr>
      <w:tab/>
      <w:t xml:space="preserve">Page </w:t>
    </w:r>
    <w:r w:rsidRPr="00D40D8A">
      <w:rPr>
        <w:sz w:val="20"/>
      </w:rPr>
      <w:fldChar w:fldCharType="begin"/>
    </w:r>
    <w:r w:rsidRPr="00D40D8A">
      <w:rPr>
        <w:sz w:val="20"/>
      </w:rPr>
      <w:instrText xml:space="preserve"> PAGE   \* MERGEFORMAT </w:instrText>
    </w:r>
    <w:r w:rsidRPr="00D40D8A">
      <w:rPr>
        <w:sz w:val="20"/>
      </w:rPr>
      <w:fldChar w:fldCharType="separate"/>
    </w:r>
    <w:r w:rsidR="00581D90">
      <w:rPr>
        <w:noProof/>
        <w:sz w:val="20"/>
      </w:rPr>
      <w:t>1</w:t>
    </w:r>
    <w:r w:rsidRPr="00D40D8A">
      <w:rPr>
        <w:sz w:val="20"/>
      </w:rPr>
      <w:fldChar w:fldCharType="end"/>
    </w:r>
    <w:r w:rsidRPr="00D40D8A">
      <w:rPr>
        <w:sz w:val="20"/>
      </w:rPr>
      <w:t xml:space="preserve"> of </w:t>
    </w:r>
    <w:r w:rsidRPr="00D40D8A">
      <w:rPr>
        <w:sz w:val="20"/>
      </w:rPr>
      <w:fldChar w:fldCharType="begin"/>
    </w:r>
    <w:r w:rsidRPr="00D40D8A">
      <w:rPr>
        <w:sz w:val="20"/>
      </w:rPr>
      <w:instrText xml:space="preserve"> NUMPAGES   \* MERGEFORMAT </w:instrText>
    </w:r>
    <w:r w:rsidRPr="00D40D8A">
      <w:rPr>
        <w:sz w:val="20"/>
      </w:rPr>
      <w:fldChar w:fldCharType="separate"/>
    </w:r>
    <w:r w:rsidR="00581D90">
      <w:rPr>
        <w:noProof/>
        <w:sz w:val="20"/>
      </w:rPr>
      <w:t>4</w:t>
    </w:r>
    <w:r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0"/>
  </w:num>
  <w:num w:numId="3">
    <w:abstractNumId w:val="26"/>
  </w:num>
  <w:num w:numId="4">
    <w:abstractNumId w:val="19"/>
  </w:num>
  <w:num w:numId="5">
    <w:abstractNumId w:val="6"/>
  </w:num>
  <w:num w:numId="6">
    <w:abstractNumId w:val="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12"/>
  </w:num>
  <w:num w:numId="10">
    <w:abstractNumId w:val="18"/>
  </w:num>
  <w:num w:numId="11">
    <w:abstractNumId w:val="8"/>
  </w:num>
  <w:num w:numId="12">
    <w:abstractNumId w:val="20"/>
  </w:num>
  <w:num w:numId="13">
    <w:abstractNumId w:val="2"/>
  </w:num>
  <w:num w:numId="14">
    <w:abstractNumId w:val="15"/>
  </w:num>
  <w:num w:numId="15">
    <w:abstractNumId w:val="23"/>
  </w:num>
  <w:num w:numId="16">
    <w:abstractNumId w:val="1"/>
  </w:num>
  <w:num w:numId="17">
    <w:abstractNumId w:val="9"/>
  </w:num>
  <w:num w:numId="18">
    <w:abstractNumId w:val="4"/>
  </w:num>
  <w:num w:numId="19">
    <w:abstractNumId w:val="14"/>
  </w:num>
  <w:num w:numId="20">
    <w:abstractNumId w:val="24"/>
  </w:num>
  <w:num w:numId="21">
    <w:abstractNumId w:val="25"/>
  </w:num>
  <w:num w:numId="22">
    <w:abstractNumId w:val="17"/>
  </w:num>
  <w:num w:numId="23">
    <w:abstractNumId w:val="3"/>
  </w:num>
  <w:num w:numId="24">
    <w:abstractNumId w:val="11"/>
  </w:num>
  <w:num w:numId="25">
    <w:abstractNumId w:val="16"/>
  </w:num>
  <w:num w:numId="26">
    <w:abstractNumId w:val="21"/>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0"/>
    <w:rsid w:val="000701F3"/>
    <w:rsid w:val="00076163"/>
    <w:rsid w:val="00362F30"/>
    <w:rsid w:val="004538C0"/>
    <w:rsid w:val="004701E1"/>
    <w:rsid w:val="004C7471"/>
    <w:rsid w:val="00581D90"/>
    <w:rsid w:val="005E6876"/>
    <w:rsid w:val="00693DE4"/>
    <w:rsid w:val="00831A2B"/>
    <w:rsid w:val="008531EB"/>
    <w:rsid w:val="008E6F79"/>
    <w:rsid w:val="00981B18"/>
    <w:rsid w:val="00986593"/>
    <w:rsid w:val="00994879"/>
    <w:rsid w:val="009B7DB1"/>
    <w:rsid w:val="009D2086"/>
    <w:rsid w:val="00CD3D5E"/>
    <w:rsid w:val="00D40D8A"/>
    <w:rsid w:val="00DA0F7F"/>
    <w:rsid w:val="00EB1165"/>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imuacademytrus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3117FD4AAB34C982FB9BB7383F471" ma:contentTypeVersion="14" ma:contentTypeDescription="Create a new document." ma:contentTypeScope="" ma:versionID="1ecca42f8051dd8d9aa5897a7a8aede4">
  <xsd:schema xmlns:xsd="http://www.w3.org/2001/XMLSchema" xmlns:xs="http://www.w3.org/2001/XMLSchema" xmlns:p="http://schemas.microsoft.com/office/2006/metadata/properties" xmlns:ns2="7784dcd0-c1a3-4ab1-ba7b-945b79159b16" xmlns:ns3="dde51835-3688-40fc-b2fc-a19981396e48" targetNamespace="http://schemas.microsoft.com/office/2006/metadata/properties" ma:root="true" ma:fieldsID="4e9e863118280b76a2bf9e494a70a56a" ns2:_="" ns3:_="">
    <xsd:import namespace="7784dcd0-c1a3-4ab1-ba7b-945b79159b16"/>
    <xsd:import namespace="dde51835-3688-40fc-b2fc-a19981396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dcd0-c1a3-4ab1-ba7b-945b7915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ime" ma:index="1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e51835-3688-40fc-b2fc-a19981396e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7784dcd0-c1a3-4ab1-ba7b-945b79159b16" xsi:nil="true"/>
    <SharedWithUsers xmlns="dde51835-3688-40fc-b2fc-a19981396e48">
      <UserInfo>
        <DisplayName>Sam Osborn</DisplayName>
        <AccountId>30</AccountId>
        <AccountType/>
      </UserInfo>
      <UserInfo>
        <DisplayName>Nicola Usher</DisplayName>
        <AccountId>772</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C11210E-5EDE-4CEE-87B4-0FB4F58B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dcd0-c1a3-4ab1-ba7b-945b79159b16"/>
    <ds:schemaRef ds:uri="dde51835-3688-40fc-b2fc-a19981396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AD91-871B-4020-8882-7FE220BA6E22}">
  <ds:schemaRefs>
    <ds:schemaRef ds:uri="http://schemas.microsoft.com/sharepoint/v3/contenttype/forms"/>
  </ds:schemaRefs>
</ds:datastoreItem>
</file>

<file path=customXml/itemProps3.xml><?xml version="1.0" encoding="utf-8"?>
<ds:datastoreItem xmlns:ds="http://schemas.openxmlformats.org/officeDocument/2006/customXml" ds:itemID="{1D7591E9-2514-44B3-95AF-24B8510A3FA6}">
  <ds:schemaRefs>
    <ds:schemaRef ds:uri="7784dcd0-c1a3-4ab1-ba7b-945b79159b1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e51835-3688-40fc-b2fc-a19981396e48"/>
    <ds:schemaRef ds:uri="http://www.w3.org/XML/1998/namespace"/>
    <ds:schemaRef ds:uri="http://purl.org/dc/dcmitype/"/>
  </ds:schemaRefs>
</ds:datastoreItem>
</file>

<file path=customXml/itemProps4.xml><?xml version="1.0" encoding="utf-8"?>
<ds:datastoreItem xmlns:ds="http://schemas.openxmlformats.org/officeDocument/2006/customXml" ds:itemID="{3DC871E6-2183-412D-8BF4-6420CB13E7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2022-09-20T11:53:00Z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0x01010052D3117FD4AAB34C982FB9BB7383F471</vt:lpwstr>
  </property>
</Properties>
</file>