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tabs>
          <w:tab w:val="center" w:leader="none" w:pos="4320"/>
          <w:tab w:val="right" w:leader="none" w:pos="8640"/>
        </w:tabs>
        <w:spacing w:after="0" w:line="240" w:lineRule="auto"/>
        <w:jc w:val="center"/>
        <w:rPr>
          <w:rFonts w:ascii="Times New Roman" w:cs="Times New Roman" w:eastAsia="Times New Roman" w:hAnsi="Times New Roman"/>
          <w:b w:val="1"/>
          <w:color w:val="222222"/>
          <w:sz w:val="32"/>
          <w:szCs w:val="32"/>
        </w:rPr>
      </w:pPr>
      <w:r w:rsidDel="00000000" w:rsidR="00000000" w:rsidRPr="00000000">
        <w:rPr>
          <w:rFonts w:ascii="Cambria" w:cs="Cambria" w:eastAsia="Cambria" w:hAnsi="Cambria"/>
          <w:sz w:val="24"/>
          <w:szCs w:val="24"/>
        </w:rPr>
        <w:drawing>
          <wp:inline distB="114300" distT="114300" distL="114300" distR="114300">
            <wp:extent cx="2428875" cy="1526721"/>
            <wp:effectExtent b="0" l="0" r="0" t="0"/>
            <wp:docPr id="3"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428875" cy="152672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hd w:fill="ffffff" w:val="clear"/>
        <w:spacing w:after="0" w:line="240" w:lineRule="auto"/>
        <w:jc w:val="center"/>
        <w:rPr>
          <w:rFonts w:ascii="Times New Roman" w:cs="Times New Roman" w:eastAsia="Times New Roman" w:hAnsi="Times New Roman"/>
          <w:color w:val="222222"/>
          <w:sz w:val="36"/>
          <w:szCs w:val="36"/>
        </w:rPr>
      </w:pPr>
      <w:r w:rsidDel="00000000" w:rsidR="00000000" w:rsidRPr="00000000">
        <w:rPr>
          <w:rtl w:val="0"/>
        </w:rPr>
      </w:r>
    </w:p>
    <w:p w:rsidR="00000000" w:rsidDel="00000000" w:rsidP="00000000" w:rsidRDefault="00000000" w:rsidRPr="00000000" w14:paraId="00000003">
      <w:pPr>
        <w:pageBreakBefore w:val="0"/>
        <w:shd w:fill="ffffff" w:val="clear"/>
        <w:spacing w:after="0" w:line="240" w:lineRule="auto"/>
        <w:jc w:val="center"/>
        <w:rPr>
          <w:rFonts w:ascii="Times New Roman" w:cs="Times New Roman" w:eastAsia="Times New Roman" w:hAnsi="Times New Roman"/>
          <w:color w:val="222222"/>
          <w:sz w:val="36"/>
          <w:szCs w:val="36"/>
        </w:rPr>
      </w:pPr>
      <w:r w:rsidDel="00000000" w:rsidR="00000000" w:rsidRPr="00000000">
        <w:rPr>
          <w:rFonts w:ascii="Times New Roman" w:cs="Times New Roman" w:eastAsia="Times New Roman" w:hAnsi="Times New Roman"/>
          <w:color w:val="222222"/>
          <w:sz w:val="36"/>
          <w:szCs w:val="36"/>
          <w:rtl w:val="0"/>
        </w:rPr>
        <w:t xml:space="preserve">Head of Business Studies &amp; Economics</w:t>
      </w:r>
    </w:p>
    <w:p w:rsidR="00000000" w:rsidDel="00000000" w:rsidP="00000000" w:rsidRDefault="00000000" w:rsidRPr="00000000" w14:paraId="00000004">
      <w:pPr>
        <w:pageBreakBefore w:val="0"/>
        <w:shd w:fill="ffffff" w:val="clear"/>
        <w:spacing w:after="0" w:line="240" w:lineRule="auto"/>
        <w:jc w:val="center"/>
        <w:rPr>
          <w:rFonts w:ascii="Times New Roman" w:cs="Times New Roman" w:eastAsia="Times New Roman" w:hAnsi="Times New Roman"/>
          <w:color w:val="222222"/>
          <w:sz w:val="36"/>
          <w:szCs w:val="36"/>
        </w:rPr>
      </w:pPr>
      <w:r w:rsidDel="00000000" w:rsidR="00000000" w:rsidRPr="00000000">
        <w:rPr>
          <w:rFonts w:ascii="Times New Roman" w:cs="Times New Roman" w:eastAsia="Times New Roman" w:hAnsi="Times New Roman"/>
          <w:color w:val="222222"/>
          <w:sz w:val="36"/>
          <w:szCs w:val="36"/>
          <w:rtl w:val="0"/>
        </w:rPr>
        <w:t xml:space="preserve">TLR 2B £5,019 pa</w:t>
      </w:r>
    </w:p>
    <w:p w:rsidR="00000000" w:rsidDel="00000000" w:rsidP="00000000" w:rsidRDefault="00000000" w:rsidRPr="00000000" w14:paraId="00000005">
      <w:pPr>
        <w:pageBreakBefore w:val="0"/>
        <w:shd w:fill="ffffff" w:val="clear"/>
        <w:spacing w:after="0" w:line="240" w:lineRule="auto"/>
        <w:jc w:val="center"/>
        <w:rPr>
          <w:rFonts w:ascii="Times New Roman" w:cs="Times New Roman" w:eastAsia="Times New Roman" w:hAnsi="Times New Roman"/>
          <w:b w:val="1"/>
          <w:color w:val="222222"/>
          <w:sz w:val="32"/>
          <w:szCs w:val="32"/>
        </w:rPr>
      </w:pPr>
      <w:r w:rsidDel="00000000" w:rsidR="00000000" w:rsidRPr="00000000">
        <w:rPr>
          <w:rtl w:val="0"/>
        </w:rPr>
      </w:r>
    </w:p>
    <w:p w:rsidR="00000000" w:rsidDel="00000000" w:rsidP="00000000" w:rsidRDefault="00000000" w:rsidRPr="00000000" w14:paraId="00000006">
      <w:pPr>
        <w:pageBreakBefore w:val="0"/>
        <w:shd w:fill="ffffff" w:val="clear"/>
        <w:spacing w:after="0" w:line="240" w:lineRule="auto"/>
        <w:jc w:val="center"/>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Full-time Permanent MPS/UPS Required from September 2023</w:t>
      </w:r>
    </w:p>
    <w:p w:rsidR="00000000" w:rsidDel="00000000" w:rsidP="00000000" w:rsidRDefault="00000000" w:rsidRPr="00000000" w14:paraId="00000007">
      <w:pPr>
        <w:pageBreakBefore w:val="0"/>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ageBreakBefore w:val="0"/>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looking to appoint a creative, enthusiastic and inspiring Head of Business Studies and Economics to lead this important area of our curriculum from September.  This department encompasses A Level Business Studies and A Level Economics.  Business Studies and Economics are popular subjects with our A level students.  Applicants need to be able to teach both Business Studies and Economics to able, creative and motivated students and have a passion for these subjects.  This is an excellent opportunity for the right person to join this outstanding school.</w:t>
      </w:r>
    </w:p>
    <w:p w:rsidR="00000000" w:rsidDel="00000000" w:rsidP="00000000" w:rsidRDefault="00000000" w:rsidRPr="00000000" w14:paraId="0000000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welcome applications from candidates who can demonstrate:</w:t>
      </w:r>
    </w:p>
    <w:p w:rsidR="00000000" w:rsidDel="00000000" w:rsidP="00000000" w:rsidRDefault="00000000" w:rsidRPr="00000000" w14:paraId="0000000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widowControl w:val="0"/>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passion for teaching Business Studies and Economics</w:t>
      </w:r>
    </w:p>
    <w:p w:rsidR="00000000" w:rsidDel="00000000" w:rsidP="00000000" w:rsidRDefault="00000000" w:rsidRPr="00000000" w14:paraId="0000000E">
      <w:pPr>
        <w:widowControl w:val="0"/>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commitment to promoting high quality teaching and learning within this department</w:t>
      </w:r>
    </w:p>
    <w:p w:rsidR="00000000" w:rsidDel="00000000" w:rsidP="00000000" w:rsidRDefault="00000000" w:rsidRPr="00000000" w14:paraId="0000000F">
      <w:pPr>
        <w:widowControl w:val="0"/>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to promote Business Studies and Economics across the curriculum</w:t>
      </w:r>
    </w:p>
    <w:p w:rsidR="00000000" w:rsidDel="00000000" w:rsidP="00000000" w:rsidRDefault="00000000" w:rsidRPr="00000000" w14:paraId="00000010">
      <w:pPr>
        <w:widowControl w:val="0"/>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 of teaching both Business Studies and Economics to A level standard would be an advantage.</w:t>
      </w:r>
      <w:r w:rsidDel="00000000" w:rsidR="00000000" w:rsidRPr="00000000">
        <w:rPr>
          <w:rtl w:val="0"/>
        </w:rPr>
      </w:r>
    </w:p>
    <w:p w:rsidR="00000000" w:rsidDel="00000000" w:rsidP="00000000" w:rsidRDefault="00000000" w:rsidRPr="00000000" w14:paraId="00000011">
      <w:pPr>
        <w:pageBreakBefore w:val="0"/>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ageBreakBefore w:val="0"/>
        <w:shd w:fill="ffffff" w:val="clear"/>
        <w:spacing w:after="0" w:line="240" w:lineRule="auto"/>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sz w:val="24"/>
          <w:szCs w:val="24"/>
          <w:u w:val="none"/>
          <w:shd w:fill="auto" w:val="clear"/>
          <w:vertAlign w:val="baseline"/>
          <w:rtl w:val="0"/>
        </w:rPr>
        <w:t xml:space="preserve">Maidstone Grammar School for Girls is a very successful sele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ctive girls’ school of 12</w:t>
      </w:r>
      <w:r w:rsidDel="00000000" w:rsidR="00000000" w:rsidRPr="00000000">
        <w:rPr>
          <w:rFonts w:ascii="Times New Roman" w:cs="Times New Roman" w:eastAsia="Times New Roman" w:hAnsi="Times New Roman"/>
          <w:sz w:val="24"/>
          <w:szCs w:val="24"/>
          <w:rtl w:val="0"/>
        </w:rPr>
        <w:t xml:space="preserve">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students with a mixed sixth form of approximately 3</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  Since </w:t>
      </w:r>
      <w:r w:rsidDel="00000000" w:rsidR="00000000" w:rsidRPr="00000000">
        <w:rPr>
          <w:rFonts w:ascii="Times New Roman" w:cs="Times New Roman" w:eastAsia="Times New Roman" w:hAnsi="Times New Roman"/>
          <w:sz w:val="24"/>
          <w:szCs w:val="24"/>
          <w:rtl w:val="0"/>
        </w:rPr>
        <w:t xml:space="preserve">July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2019 </w:t>
      </w:r>
      <w:r w:rsidDel="00000000" w:rsidR="00000000" w:rsidRPr="00000000">
        <w:rPr>
          <w:rFonts w:ascii="Times New Roman" w:cs="Times New Roman" w:eastAsia="Times New Roman" w:hAnsi="Times New Roman"/>
          <w:sz w:val="24"/>
          <w:szCs w:val="24"/>
          <w:rtl w:val="0"/>
        </w:rPr>
        <w:t xml:space="preserve">we have been appointed by the Department for Education as a Computer Hub in recognition of the expertise the school has evidenced in Computing Education and will take a lead in training teachers across the south east in the delivery of Computing.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post offers the opportunity to work with intellectually able young people in a supportive and friendly environment.  Staff benefits include strong support for professional development and healthcare scheme.</w:t>
      </w:r>
    </w:p>
    <w:p w:rsidR="00000000" w:rsidDel="00000000" w:rsidP="00000000" w:rsidRDefault="00000000" w:rsidRPr="00000000" w14:paraId="0000001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“Maidstone Grammar School for Girls is an outstanding school” (Ofsted)</w:t>
      </w:r>
    </w:p>
    <w:p w:rsidR="00000000" w:rsidDel="00000000" w:rsidP="00000000" w:rsidRDefault="00000000" w:rsidRPr="00000000" w14:paraId="0000001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1"/>
          <w:color w:val="000000"/>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Full details and an application pack are available from the school’s website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hyperlink r:id="rId7">
        <w:r w:rsidDel="00000000" w:rsidR="00000000" w:rsidRPr="00000000">
          <w:rPr>
            <w:rFonts w:ascii="Times New Roman" w:cs="Times New Roman" w:eastAsia="Times New Roman" w:hAnsi="Times New Roman"/>
            <w:b w:val="1"/>
            <w:color w:val="1155cc"/>
            <w:sz w:val="24"/>
            <w:szCs w:val="24"/>
            <w:u w:val="single"/>
            <w:rtl w:val="0"/>
          </w:rPr>
          <w:t xml:space="preserve">https://www.mggs.org/joining-us/join-our-team/vacancies/</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Applicants should complete our application form and email, along </w:t>
      </w:r>
      <w:r w:rsidDel="00000000" w:rsidR="00000000" w:rsidRPr="00000000">
        <w:rPr>
          <w:rFonts w:ascii="Times New Roman" w:cs="Times New Roman" w:eastAsia="Times New Roman" w:hAnsi="Times New Roman"/>
          <w:sz w:val="24"/>
          <w:szCs w:val="24"/>
          <w:rtl w:val="0"/>
        </w:rPr>
        <w:t xml:space="preserve">with a covering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letter, to the Headteacher’s P</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Applicants are strongly encouraged to also complete our </w:t>
      </w:r>
      <w:hyperlink r:id="rId8">
        <w:r w:rsidDel="00000000" w:rsidR="00000000" w:rsidRPr="00000000">
          <w:rPr>
            <w:rFonts w:ascii="Times New Roman" w:cs="Times New Roman" w:eastAsia="Times New Roman" w:hAnsi="Times New Roman"/>
            <w:color w:val="1155cc"/>
            <w:sz w:val="24"/>
            <w:szCs w:val="24"/>
            <w:u w:val="single"/>
            <w:rtl w:val="0"/>
          </w:rPr>
          <w:t xml:space="preserve">Equal Opportunities &amp; Recruitment Monitoring Form</w:t>
        </w:r>
      </w:hyperlink>
      <w:r w:rsidDel="00000000" w:rsidR="00000000" w:rsidRPr="00000000">
        <w:rPr>
          <w:rFonts w:ascii="Times New Roman" w:cs="Times New Roman" w:eastAsia="Times New Roman" w:hAnsi="Times New Roman"/>
          <w:sz w:val="24"/>
          <w:szCs w:val="24"/>
          <w:rtl w:val="0"/>
        </w:rPr>
        <w:t xml:space="preserve">.  If you require any additional information please contact Ms Starns, PA to the Headteacher via email: </w:t>
      </w:r>
      <w:hyperlink r:id="rId9">
        <w:r w:rsidDel="00000000" w:rsidR="00000000" w:rsidRPr="00000000">
          <w:rPr>
            <w:rFonts w:ascii="Times New Roman" w:cs="Times New Roman" w:eastAsia="Times New Roman" w:hAnsi="Times New Roman"/>
            <w:color w:val="1155cc"/>
            <w:sz w:val="24"/>
            <w:szCs w:val="24"/>
            <w:u w:val="single"/>
            <w:rtl w:val="0"/>
          </w:rPr>
          <w:t xml:space="preserve">mstarns@mggs.org</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Applications welcomed immediately</w:t>
      </w:r>
    </w:p>
    <w:p w:rsidR="00000000" w:rsidDel="00000000" w:rsidP="00000000" w:rsidRDefault="00000000" w:rsidRPr="00000000" w14:paraId="0000001C">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Applications will be considered in the order in which they are received. Suitable candidates may be interviewed before the closing date and Maidstone Grammar School for Girls reserves the right to withdraw the position if an early appointment is made.</w:t>
      </w:r>
    </w:p>
    <w:p w:rsidR="00000000" w:rsidDel="00000000" w:rsidP="00000000" w:rsidRDefault="00000000" w:rsidRPr="00000000" w14:paraId="0000001E">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Closing Date: 8am on 22nd February 2023</w:t>
      </w:r>
    </w:p>
    <w:p w:rsidR="00000000" w:rsidDel="00000000" w:rsidP="00000000" w:rsidRDefault="00000000" w:rsidRPr="00000000" w14:paraId="00000020">
      <w:pPr>
        <w:pageBreakBefore w:val="0"/>
        <w:spacing w:after="0" w:line="24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1">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Interviews:  27th February 2023</w:t>
      </w:r>
    </w:p>
    <w:p w:rsidR="00000000" w:rsidDel="00000000" w:rsidP="00000000" w:rsidRDefault="00000000" w:rsidRPr="00000000" w14:paraId="00000022">
      <w:pPr>
        <w:pageBreakBefore w:val="0"/>
        <w:spacing w:after="0" w:line="24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3">
      <w:pPr>
        <w:pageBreakBefore w:val="0"/>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Our School and all its personnel are committed to safeguarding and promoting the welfare of the children.  This post is subject to an Enhanced Disclosure Application to the Disclosure and Barring Service.</w:t>
      </w:r>
    </w:p>
    <w:p w:rsidR="00000000" w:rsidDel="00000000" w:rsidP="00000000" w:rsidRDefault="00000000" w:rsidRPr="00000000" w14:paraId="00000024">
      <w:pPr>
        <w:spacing w:after="0" w:line="24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5">
      <w:pPr>
        <w:pageBreakBefore w:val="0"/>
        <w:spacing w:after="0" w:line="24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6">
      <w:pPr>
        <w:pageBreakBefore w:val="0"/>
        <w:spacing w:after="0" w:line="24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7">
      <w:pPr>
        <w:pageBreakBefore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post is exempt from section 4 (2) of the Rehabilitation of Offenders Act (ROA) 1974. The amendments to the ROA 1974 (Exceptions Order 1975, (2013 and 2020)).  It is not, therefore, in any way contrary to the Act to reveal any information concerning convictions which would otherwise be considered as “spent” in relation to the applicant’s suitability for employment. Any such information will be kept in strict confidence and only used in consideration of the suitability of the applicant for such a position where such an exemption is appropriate.</w:t>
      </w:r>
      <w:r w:rsidDel="00000000" w:rsidR="00000000" w:rsidRPr="00000000">
        <w:drawing>
          <wp:anchor allowOverlap="1" behindDoc="0" distB="114300" distT="114300" distL="114300" distR="114300" hidden="0" layoutInCell="1" locked="0" relativeHeight="0" simplePos="0">
            <wp:simplePos x="0" y="0"/>
            <wp:positionH relativeFrom="column">
              <wp:posOffset>4819650</wp:posOffset>
            </wp:positionH>
            <wp:positionV relativeFrom="paragraph">
              <wp:posOffset>114300</wp:posOffset>
            </wp:positionV>
            <wp:extent cx="1446937" cy="1237334"/>
            <wp:effectExtent b="0" l="0" r="0" t="0"/>
            <wp:wrapSquare wrapText="bothSides" distB="114300" distT="114300" distL="114300" distR="114300"/>
            <wp:docPr id="2"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1446937" cy="1237334"/>
                    </a:xfrm>
                    <a:prstGeom prst="rect"/>
                    <a:ln/>
                  </pic:spPr>
                </pic:pic>
              </a:graphicData>
            </a:graphic>
          </wp:anchor>
        </w:drawing>
      </w:r>
    </w:p>
    <w:p w:rsidR="00000000" w:rsidDel="00000000" w:rsidP="00000000" w:rsidRDefault="00000000" w:rsidRPr="00000000" w14:paraId="00000028">
      <w:pPr>
        <w:pageBreakBefore w:val="0"/>
        <w:spacing w:after="0" w:line="24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color w:val="222222"/>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-676274</wp:posOffset>
                </wp:positionH>
                <wp:positionV relativeFrom="paragraph">
                  <wp:posOffset>0</wp:posOffset>
                </wp:positionV>
                <wp:extent cx="7514363" cy="304800"/>
                <wp:effectExtent b="0" l="0" r="0" t="0"/>
                <wp:wrapNone/>
                <wp:docPr id="1" name=""/>
                <a:graphic>
                  <a:graphicData uri="http://schemas.microsoft.com/office/word/2010/wordprocessingShape">
                    <wps:wsp>
                      <wps:cNvSpPr/>
                      <wps:cNvPr id="2" name="Shape 2"/>
                      <wps:spPr>
                        <a:xfrm>
                          <a:off x="1896045" y="3631144"/>
                          <a:ext cx="6899910" cy="297712"/>
                        </a:xfrm>
                        <a:prstGeom prst="rect">
                          <a:avLst/>
                        </a:prstGeom>
                        <a:solidFill>
                          <a:schemeClr val="lt1"/>
                        </a:solid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688499"/>
                                <w:sz w:val="22"/>
                                <w:vertAlign w:val="baseline"/>
                              </w:rPr>
                              <w:t xml:space="preserve">A forward-thinking community with a tradition of excellence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-676274</wp:posOffset>
                </wp:positionH>
                <wp:positionV relativeFrom="paragraph">
                  <wp:posOffset>0</wp:posOffset>
                </wp:positionV>
                <wp:extent cx="7514363" cy="304800"/>
                <wp:effectExtent b="0" l="0" r="0" t="0"/>
                <wp:wrapNone/>
                <wp:docPr id="1"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7514363" cy="304800"/>
                        </a:xfrm>
                        <a:prstGeom prst="rect"/>
                        <a:ln/>
                      </pic:spPr>
                    </pic:pic>
                  </a:graphicData>
                </a:graphic>
              </wp:anchor>
            </w:drawing>
          </mc:Fallback>
        </mc:AlternateContent>
      </w:r>
    </w:p>
    <w:p w:rsidR="00000000" w:rsidDel="00000000" w:rsidP="00000000" w:rsidRDefault="00000000" w:rsidRPr="00000000" w14:paraId="0000002A">
      <w:pPr>
        <w:pageBreakBefore w:val="0"/>
        <w:rPr/>
      </w:pPr>
      <w:bookmarkStart w:colFirst="0" w:colLast="0" w:name="_gjdgxs" w:id="0"/>
      <w:bookmarkEnd w:id="0"/>
      <w:r w:rsidDel="00000000" w:rsidR="00000000" w:rsidRPr="00000000">
        <w:rPr>
          <w:rtl w:val="0"/>
        </w:rPr>
      </w:r>
    </w:p>
    <w:sectPr>
      <w:headerReference r:id="rId12" w:type="first"/>
      <w:headerReference r:id="rId13" w:type="even"/>
      <w:footerReference r:id="rId14" w:type="first"/>
      <w:footerReference r:id="rId15" w:type="even"/>
      <w:pgSz w:h="16840" w:w="11900" w:orient="portrait"/>
      <w:pgMar w:bottom="566.9291338582677" w:top="283.46456692913387" w:left="1133.8582677165355" w:right="1133.8582677165355" w:header="283.46456692913387" w:footer="1111.18110236220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2.jpg"/><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starns@mggs.org"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mggs.org/joining-us/join-our-team/vacancies/" TargetMode="External"/><Relationship Id="rId8" Type="http://schemas.openxmlformats.org/officeDocument/2006/relationships/hyperlink" Target="https://forms.gle/ewtNZYJKMPJdn9ct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