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AA" w:rsidRDefault="00FB4E75">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-80645</wp:posOffset>
                </wp:positionH>
                <wp:positionV relativeFrom="paragraph">
                  <wp:posOffset>1779270</wp:posOffset>
                </wp:positionV>
                <wp:extent cx="5760720" cy="6224270"/>
                <wp:effectExtent l="0" t="0" r="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224270"/>
                        </a:xfrm>
                        <a:prstGeom prst="rect">
                          <a:avLst/>
                        </a:prstGeom>
                        <a:noFill/>
                        <a:ln w="9525">
                          <a:noFill/>
                          <a:miter lim="800000"/>
                          <a:headEnd/>
                          <a:tailEnd/>
                        </a:ln>
                      </wps:spPr>
                      <wps:txbx>
                        <w:txbxContent>
                          <w:p w:rsidR="004875AA" w:rsidRDefault="00D81C7B">
                            <w:pPr>
                              <w:jc w:val="center"/>
                              <w:rPr>
                                <w:rFonts w:ascii="Dyslexie" w:hAnsi="Dyslexie"/>
                                <w:b/>
                                <w:color w:val="000099"/>
                                <w:sz w:val="56"/>
                              </w:rPr>
                            </w:pPr>
                            <w:r>
                              <w:rPr>
                                <w:rFonts w:ascii="Dyslexie" w:hAnsi="Dyslexie"/>
                                <w:b/>
                                <w:color w:val="000099"/>
                                <w:sz w:val="56"/>
                              </w:rPr>
                              <w:t>Recruitment and Employment of Ex-Offenders</w:t>
                            </w:r>
                          </w:p>
                          <w:p w:rsidR="004875AA" w:rsidRDefault="004875AA">
                            <w:pPr>
                              <w:jc w:val="center"/>
                              <w:rPr>
                                <w:rFonts w:ascii="Arial" w:hAnsi="Arial"/>
                                <w:b/>
                                <w:sz w:val="52"/>
                              </w:rPr>
                            </w:pPr>
                          </w:p>
                          <w:p w:rsidR="004875AA" w:rsidRDefault="005C5778">
                            <w:pPr>
                              <w:jc w:val="center"/>
                              <w:rPr>
                                <w:rFonts w:ascii="Dyslexie" w:hAnsi="Dyslexie"/>
                                <w:b/>
                                <w:color w:val="000099"/>
                                <w:sz w:val="36"/>
                              </w:rPr>
                            </w:pPr>
                            <w:r>
                              <w:rPr>
                                <w:rFonts w:ascii="Dyslexie" w:hAnsi="Dyslexie"/>
                                <w:b/>
                                <w:color w:val="000099"/>
                                <w:sz w:val="36"/>
                              </w:rPr>
                              <w:t>January</w:t>
                            </w:r>
                            <w:r w:rsidR="00EA2397">
                              <w:rPr>
                                <w:rFonts w:ascii="Dyslexie" w:hAnsi="Dyslexie"/>
                                <w:b/>
                                <w:color w:val="000099"/>
                                <w:sz w:val="36"/>
                              </w:rPr>
                              <w:t xml:space="preserve"> </w:t>
                            </w:r>
                            <w:r w:rsidR="00400444">
                              <w:rPr>
                                <w:rFonts w:ascii="Dyslexie" w:hAnsi="Dyslexie"/>
                                <w:b/>
                                <w:color w:val="000099"/>
                                <w:sz w:val="36"/>
                              </w:rPr>
                              <w:t>2022</w:t>
                            </w:r>
                          </w:p>
                          <w:p w:rsidR="004875AA" w:rsidRDefault="004875AA">
                            <w:pPr>
                              <w:jc w:val="center"/>
                              <w:rPr>
                                <w:rFonts w:ascii="Dyslexie" w:hAnsi="Dyslexie"/>
                                <w:b/>
                                <w:color w:val="000099"/>
                                <w:sz w:val="36"/>
                              </w:rPr>
                            </w:pPr>
                          </w:p>
                          <w:p w:rsidR="004875AA" w:rsidRDefault="00FB4E75">
                            <w:pPr>
                              <w:rPr>
                                <w:rFonts w:ascii="Dyslexie" w:hAnsi="Dyslexie"/>
                                <w:b/>
                                <w:color w:val="000099"/>
                                <w:sz w:val="24"/>
                              </w:rPr>
                            </w:pPr>
                            <w:r>
                              <w:rPr>
                                <w:rFonts w:ascii="Dyslexie" w:hAnsi="Dyslexie"/>
                                <w:b/>
                                <w:color w:val="000099"/>
                                <w:sz w:val="24"/>
                              </w:rPr>
                              <w:t xml:space="preserve">Approved by the </w:t>
                            </w:r>
                            <w:r w:rsidR="00400444">
                              <w:rPr>
                                <w:rFonts w:ascii="Dyslexie" w:hAnsi="Dyslexie"/>
                                <w:b/>
                                <w:color w:val="000099"/>
                                <w:sz w:val="24"/>
                              </w:rPr>
                              <w:t>Governing Body Strategy Group 13/01/22</w:t>
                            </w:r>
                          </w:p>
                          <w:p w:rsidR="004875AA" w:rsidRDefault="004875AA">
                            <w:pPr>
                              <w:rPr>
                                <w:rFonts w:ascii="Dyslexie" w:hAnsi="Dyslexie"/>
                                <w:b/>
                                <w:color w:val="000099"/>
                                <w:sz w:val="24"/>
                              </w:rPr>
                            </w:pPr>
                          </w:p>
                          <w:p w:rsidR="004875AA" w:rsidRDefault="00FB4E75">
                            <w:pPr>
                              <w:jc w:val="center"/>
                              <w:rPr>
                                <w:rFonts w:ascii="Dyslexie" w:hAnsi="Dyslexie"/>
                                <w:b/>
                                <w:color w:val="000099"/>
                                <w:sz w:val="32"/>
                              </w:rPr>
                            </w:pPr>
                            <w:r>
                              <w:rPr>
                                <w:rFonts w:ascii="Dyslexie" w:hAnsi="Dyslexie"/>
                                <w:b/>
                                <w:color w:val="000099"/>
                                <w:sz w:val="32"/>
                              </w:rPr>
                              <w:t>This Pol</w:t>
                            </w:r>
                            <w:r w:rsidR="00497EC1">
                              <w:rPr>
                                <w:rFonts w:ascii="Dyslexie" w:hAnsi="Dyslexie"/>
                                <w:b/>
                                <w:color w:val="000099"/>
                                <w:sz w:val="32"/>
                              </w:rPr>
                              <w:t>i</w:t>
                            </w:r>
                            <w:r w:rsidR="005C5778">
                              <w:rPr>
                                <w:rFonts w:ascii="Dyslexie" w:hAnsi="Dyslexie"/>
                                <w:b/>
                                <w:color w:val="000099"/>
                                <w:sz w:val="32"/>
                              </w:rPr>
                              <w:t>cy is due for renewal in Term 3</w:t>
                            </w:r>
                            <w:r w:rsidR="00400444">
                              <w:rPr>
                                <w:rFonts w:ascii="Dyslexie" w:hAnsi="Dyslexie"/>
                                <w:b/>
                                <w:color w:val="000099"/>
                                <w:sz w:val="32"/>
                              </w:rPr>
                              <w:t xml:space="preserve"> 2023-24</w:t>
                            </w:r>
                          </w:p>
                          <w:p w:rsidR="004875AA" w:rsidRDefault="004875AA">
                            <w:pPr>
                              <w:jc w:val="center"/>
                              <w:rPr>
                                <w:rFonts w:ascii="Arial" w:hAnsi="Arial"/>
                                <w:b/>
                                <w:sz w:val="52"/>
                              </w:rPr>
                            </w:pPr>
                          </w:p>
                          <w:p w:rsidR="004875AA" w:rsidRDefault="004875AA">
                            <w:pPr>
                              <w:jc w:val="center"/>
                              <w:rPr>
                                <w:rFonts w:ascii="Arial" w:hAnsi="Arial"/>
                                <w:b/>
                                <w:sz w:val="52"/>
                              </w:rPr>
                            </w:pPr>
                          </w:p>
                          <w:p w:rsidR="004875AA" w:rsidRDefault="004875AA">
                            <w:pPr>
                              <w:jc w:val="center"/>
                              <w:rPr>
                                <w:rFonts w:ascii="Arial" w:hAnsi="Arial"/>
                                <w:b/>
                                <w:sz w:val="52"/>
                              </w:rPr>
                            </w:pPr>
                          </w:p>
                          <w:p w:rsidR="004875AA" w:rsidRDefault="004875AA">
                            <w:pPr>
                              <w:pStyle w:val="Heading1"/>
                              <w:rPr>
                                <w:sz w:val="40"/>
                              </w:rPr>
                            </w:pPr>
                          </w:p>
                          <w:p w:rsidR="004875AA" w:rsidRDefault="004875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35pt;margin-top:140.1pt;width:453.6pt;height:49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" filled="f" stroked="f">
                <v:textbox>
                  <w:txbxContent>
                    <w:p w:rsidR="004875AA" w:rsidRDefault="00D81C7B">
                      <w:pPr>
                        <w:jc w:val="center"/>
                        <w:rPr>
                          <w:rFonts w:ascii="Dyslexie" w:hAnsi="Dyslexie"/>
                          <w:b/>
                          <w:color w:val="000099"/>
                          <w:sz w:val="56"/>
                        </w:rPr>
                      </w:pPr>
                      <w:r>
                        <w:rPr>
                          <w:rFonts w:ascii="Dyslexie" w:hAnsi="Dyslexie"/>
                          <w:b/>
                          <w:color w:val="000099"/>
                          <w:sz w:val="56"/>
                        </w:rPr>
                        <w:t>Recruitment and Employment of Ex-Offenders</w:t>
                      </w:r>
                    </w:p>
                    <w:p w:rsidR="004875AA" w:rsidRDefault="004875AA">
                      <w:pPr>
                        <w:jc w:val="center"/>
                        <w:rPr>
                          <w:rFonts w:ascii="Arial" w:hAnsi="Arial"/>
                          <w:b/>
                          <w:sz w:val="52"/>
                        </w:rPr>
                      </w:pPr>
                    </w:p>
                    <w:p w:rsidR="004875AA" w:rsidRDefault="005C5778">
                      <w:pPr>
                        <w:jc w:val="center"/>
                        <w:rPr>
                          <w:rFonts w:ascii="Dyslexie" w:hAnsi="Dyslexie"/>
                          <w:b/>
                          <w:color w:val="000099"/>
                          <w:sz w:val="36"/>
                        </w:rPr>
                      </w:pPr>
                      <w:r>
                        <w:rPr>
                          <w:rFonts w:ascii="Dyslexie" w:hAnsi="Dyslexie"/>
                          <w:b/>
                          <w:color w:val="000099"/>
                          <w:sz w:val="36"/>
                        </w:rPr>
                        <w:t>January</w:t>
                      </w:r>
                      <w:r w:rsidR="00EA2397">
                        <w:rPr>
                          <w:rFonts w:ascii="Dyslexie" w:hAnsi="Dyslexie"/>
                          <w:b/>
                          <w:color w:val="000099"/>
                          <w:sz w:val="36"/>
                        </w:rPr>
                        <w:t xml:space="preserve"> </w:t>
                      </w:r>
                      <w:r w:rsidR="00400444">
                        <w:rPr>
                          <w:rFonts w:ascii="Dyslexie" w:hAnsi="Dyslexie"/>
                          <w:b/>
                          <w:color w:val="000099"/>
                          <w:sz w:val="36"/>
                        </w:rPr>
                        <w:t>2022</w:t>
                      </w:r>
                    </w:p>
                    <w:p w:rsidR="004875AA" w:rsidRDefault="004875AA">
                      <w:pPr>
                        <w:jc w:val="center"/>
                        <w:rPr>
                          <w:rFonts w:ascii="Dyslexie" w:hAnsi="Dyslexie"/>
                          <w:b/>
                          <w:color w:val="000099"/>
                          <w:sz w:val="36"/>
                        </w:rPr>
                      </w:pPr>
                    </w:p>
                    <w:p w:rsidR="004875AA" w:rsidRDefault="00FB4E75">
                      <w:pPr>
                        <w:rPr>
                          <w:rFonts w:ascii="Dyslexie" w:hAnsi="Dyslexie"/>
                          <w:b/>
                          <w:color w:val="000099"/>
                          <w:sz w:val="24"/>
                        </w:rPr>
                      </w:pPr>
                      <w:r>
                        <w:rPr>
                          <w:rFonts w:ascii="Dyslexie" w:hAnsi="Dyslexie"/>
                          <w:b/>
                          <w:color w:val="000099"/>
                          <w:sz w:val="24"/>
                        </w:rPr>
                        <w:t xml:space="preserve">Approved by the </w:t>
                      </w:r>
                      <w:r w:rsidR="00400444">
                        <w:rPr>
                          <w:rFonts w:ascii="Dyslexie" w:hAnsi="Dyslexie"/>
                          <w:b/>
                          <w:color w:val="000099"/>
                          <w:sz w:val="24"/>
                        </w:rPr>
                        <w:t>Governing Body Strategy Group 13/01/22</w:t>
                      </w:r>
                    </w:p>
                    <w:p w:rsidR="004875AA" w:rsidRDefault="004875AA">
                      <w:pPr>
                        <w:rPr>
                          <w:rFonts w:ascii="Dyslexie" w:hAnsi="Dyslexie"/>
                          <w:b/>
                          <w:color w:val="000099"/>
                          <w:sz w:val="24"/>
                        </w:rPr>
                      </w:pPr>
                    </w:p>
                    <w:p w:rsidR="004875AA" w:rsidRDefault="00FB4E75">
                      <w:pPr>
                        <w:jc w:val="center"/>
                        <w:rPr>
                          <w:rFonts w:ascii="Dyslexie" w:hAnsi="Dyslexie"/>
                          <w:b/>
                          <w:color w:val="000099"/>
                          <w:sz w:val="32"/>
                        </w:rPr>
                      </w:pPr>
                      <w:r>
                        <w:rPr>
                          <w:rFonts w:ascii="Dyslexie" w:hAnsi="Dyslexie"/>
                          <w:b/>
                          <w:color w:val="000099"/>
                          <w:sz w:val="32"/>
                        </w:rPr>
                        <w:t>This Pol</w:t>
                      </w:r>
                      <w:r w:rsidR="00497EC1">
                        <w:rPr>
                          <w:rFonts w:ascii="Dyslexie" w:hAnsi="Dyslexie"/>
                          <w:b/>
                          <w:color w:val="000099"/>
                          <w:sz w:val="32"/>
                        </w:rPr>
                        <w:t>i</w:t>
                      </w:r>
                      <w:r w:rsidR="005C5778">
                        <w:rPr>
                          <w:rFonts w:ascii="Dyslexie" w:hAnsi="Dyslexie"/>
                          <w:b/>
                          <w:color w:val="000099"/>
                          <w:sz w:val="32"/>
                        </w:rPr>
                        <w:t>cy is due for renewal in Term 3</w:t>
                      </w:r>
                      <w:r w:rsidR="00400444">
                        <w:rPr>
                          <w:rFonts w:ascii="Dyslexie" w:hAnsi="Dyslexie"/>
                          <w:b/>
                          <w:color w:val="000099"/>
                          <w:sz w:val="32"/>
                        </w:rPr>
                        <w:t xml:space="preserve"> 2023-24</w:t>
                      </w:r>
                    </w:p>
                    <w:p w:rsidR="004875AA" w:rsidRDefault="004875AA">
                      <w:pPr>
                        <w:jc w:val="center"/>
                        <w:rPr>
                          <w:rFonts w:ascii="Arial" w:hAnsi="Arial"/>
                          <w:b/>
                          <w:sz w:val="52"/>
                        </w:rPr>
                      </w:pPr>
                    </w:p>
                    <w:p w:rsidR="004875AA" w:rsidRDefault="004875AA">
                      <w:pPr>
                        <w:jc w:val="center"/>
                        <w:rPr>
                          <w:rFonts w:ascii="Arial" w:hAnsi="Arial"/>
                          <w:b/>
                          <w:sz w:val="52"/>
                        </w:rPr>
                      </w:pPr>
                    </w:p>
                    <w:p w:rsidR="004875AA" w:rsidRDefault="004875AA">
                      <w:pPr>
                        <w:jc w:val="center"/>
                        <w:rPr>
                          <w:rFonts w:ascii="Arial" w:hAnsi="Arial"/>
                          <w:b/>
                          <w:sz w:val="52"/>
                        </w:rPr>
                      </w:pPr>
                    </w:p>
                    <w:p w:rsidR="004875AA" w:rsidRDefault="004875AA">
                      <w:pPr>
                        <w:pStyle w:val="Heading1"/>
                        <w:rPr>
                          <w:sz w:val="40"/>
                        </w:rPr>
                      </w:pPr>
                    </w:p>
                    <w:p w:rsidR="004875AA" w:rsidRDefault="004875AA"/>
                  </w:txbxContent>
                </v:textbox>
              </v:shape>
            </w:pict>
          </mc:Fallback>
        </mc:AlternateContent>
      </w:r>
      <w:r>
        <w:rPr>
          <w:noProof/>
          <w:lang w:eastAsia="en-GB"/>
        </w:rPr>
        <w:drawing>
          <wp:anchor distT="0" distB="0" distL="114300" distR="114300" simplePos="0" relativeHeight="251658240" behindDoc="1" locked="0" layoutInCell="1" allowOverlap="1">
            <wp:simplePos x="0" y="0"/>
            <wp:positionH relativeFrom="column">
              <wp:posOffset>-775970</wp:posOffset>
            </wp:positionH>
            <wp:positionV relativeFrom="paragraph">
              <wp:posOffset>-619760</wp:posOffset>
            </wp:positionV>
            <wp:extent cx="7270750" cy="10204450"/>
            <wp:effectExtent l="0" t="0" r="6350" b="6350"/>
            <wp:wrapThrough wrapText="bothSides">
              <wp:wrapPolygon edited="0">
                <wp:start x="0" y="0"/>
                <wp:lineTo x="0" y="21573"/>
                <wp:lineTo x="21562" y="21573"/>
                <wp:lineTo x="2156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70750" cy="10204450"/>
                    </a:xfrm>
                    <a:prstGeom prst="rect">
                      <a:avLst/>
                    </a:prstGeom>
                  </pic:spPr>
                </pic:pic>
              </a:graphicData>
            </a:graphic>
            <wp14:sizeRelH relativeFrom="page">
              <wp14:pctWidth>0</wp14:pctWidth>
            </wp14:sizeRelH>
            <wp14:sizeRelV relativeFrom="page">
              <wp14:pctHeight>0</wp14:pctHeight>
            </wp14:sizeRelV>
          </wp:anchor>
        </w:drawing>
      </w:r>
    </w:p>
    <w:p w:rsidR="004875AA" w:rsidRDefault="00D81C7B">
      <w:pPr>
        <w:jc w:val="center"/>
        <w:rPr>
          <w:rFonts w:ascii="Dyslexie" w:hAnsi="Dyslexie" w:cs="Arial"/>
          <w:b/>
          <w:sz w:val="20"/>
          <w:szCs w:val="16"/>
        </w:rPr>
      </w:pPr>
      <w:r>
        <w:rPr>
          <w:rFonts w:ascii="Dyslexie" w:hAnsi="Dyslexie" w:cs="Arial"/>
          <w:b/>
          <w:sz w:val="20"/>
          <w:szCs w:val="16"/>
        </w:rPr>
        <w:lastRenderedPageBreak/>
        <w:t>RECRUITMENT AND EMPLOYMENT OF EX-OFFENDERS</w:t>
      </w:r>
      <w:r w:rsidR="00FB4E75">
        <w:rPr>
          <w:rFonts w:ascii="Dyslexie" w:hAnsi="Dyslexie" w:cs="Arial"/>
          <w:b/>
          <w:sz w:val="20"/>
          <w:szCs w:val="16"/>
        </w:rPr>
        <w:t xml:space="preserve"> POLICY</w:t>
      </w:r>
    </w:p>
    <w:p w:rsidR="004875AA" w:rsidRDefault="00FB4E75">
      <w:pPr>
        <w:jc w:val="center"/>
        <w:rPr>
          <w:rFonts w:ascii="Dyslexie" w:hAnsi="Dyslexie" w:cs="Arial"/>
          <w:b/>
          <w:sz w:val="20"/>
          <w:szCs w:val="16"/>
        </w:rPr>
      </w:pPr>
      <w:r>
        <w:rPr>
          <w:rFonts w:ascii="Dyslexie" w:hAnsi="Dyslexie" w:cs="Arial"/>
          <w:b/>
          <w:sz w:val="20"/>
          <w:szCs w:val="16"/>
        </w:rPr>
        <w:t>OF</w:t>
      </w:r>
    </w:p>
    <w:p w:rsidR="004875AA" w:rsidRDefault="00FB4E75">
      <w:pPr>
        <w:jc w:val="center"/>
        <w:rPr>
          <w:rFonts w:ascii="Dyslexie" w:hAnsi="Dyslexie" w:cs="Arial"/>
          <w:b/>
          <w:sz w:val="20"/>
          <w:szCs w:val="16"/>
        </w:rPr>
      </w:pPr>
      <w:r>
        <w:rPr>
          <w:rFonts w:ascii="Dyslexie" w:hAnsi="Dyslexie" w:cs="Arial"/>
          <w:b/>
          <w:sz w:val="20"/>
          <w:szCs w:val="16"/>
        </w:rPr>
        <w:t>GODINTON PRIMARY SCHOOL</w:t>
      </w:r>
    </w:p>
    <w:p w:rsidR="00D81C7B" w:rsidRDefault="00D81C7B" w:rsidP="00D81C7B">
      <w:pPr>
        <w:spacing w:after="120" w:line="240" w:lineRule="auto"/>
        <w:jc w:val="both"/>
        <w:rPr>
          <w:rFonts w:ascii="Dyslexie" w:eastAsia="Times New Roman" w:hAnsi="Dyslexie" w:cs="Times New Roman"/>
          <w:sz w:val="16"/>
          <w:szCs w:val="16"/>
        </w:rPr>
      </w:pPr>
    </w:p>
    <w:p w:rsidR="00D81C7B" w:rsidRPr="00D81C7B" w:rsidRDefault="00D81C7B" w:rsidP="00D81C7B">
      <w:pPr>
        <w:spacing w:after="120" w:line="240" w:lineRule="auto"/>
        <w:jc w:val="both"/>
        <w:rPr>
          <w:rFonts w:ascii="Dyslexie" w:eastAsia="Times New Roman" w:hAnsi="Dyslexie" w:cs="Times New Roman"/>
          <w:b/>
          <w:sz w:val="16"/>
          <w:szCs w:val="16"/>
        </w:rPr>
      </w:pPr>
      <w:r w:rsidRPr="00D81C7B">
        <w:rPr>
          <w:rFonts w:ascii="Dyslexie" w:eastAsia="Times New Roman" w:hAnsi="Dyslexie" w:cs="Times New Roman"/>
          <w:b/>
          <w:sz w:val="16"/>
          <w:szCs w:val="16"/>
        </w:rPr>
        <w:t>SECTION ONE - INTRODUCTION</w:t>
      </w:r>
    </w:p>
    <w:p w:rsidR="00D81C7B" w:rsidRPr="00D81C7B" w:rsidRDefault="00D81C7B" w:rsidP="00D81C7B">
      <w:pPr>
        <w:spacing w:after="120" w:line="240" w:lineRule="auto"/>
        <w:jc w:val="both"/>
        <w:rPr>
          <w:rFonts w:ascii="Dyslexie" w:eastAsia="Times New Roman" w:hAnsi="Dyslexie" w:cs="Times New Roman"/>
          <w:sz w:val="16"/>
          <w:szCs w:val="16"/>
        </w:rPr>
      </w:pPr>
      <w:r w:rsidRPr="00D81C7B">
        <w:rPr>
          <w:rFonts w:ascii="Dyslexie" w:eastAsia="Times New Roman" w:hAnsi="Dyslexie" w:cs="Times New Roman"/>
          <w:sz w:val="16"/>
          <w:szCs w:val="16"/>
        </w:rPr>
        <w:t xml:space="preserve">The code of practice published under section 122 of the Police Act 1997 advises that it is a requirement that all registered bodies must treat </w:t>
      </w:r>
      <w:r>
        <w:rPr>
          <w:rFonts w:ascii="Dyslexie" w:eastAsia="Times New Roman" w:hAnsi="Dyslexie" w:cs="Times New Roman"/>
          <w:sz w:val="16"/>
          <w:szCs w:val="16"/>
        </w:rPr>
        <w:t>Disclosure and Barring Service (</w:t>
      </w:r>
      <w:r w:rsidRPr="00D81C7B">
        <w:rPr>
          <w:rFonts w:ascii="Dyslexie" w:eastAsia="Times New Roman" w:hAnsi="Dyslexie" w:cs="Times New Roman"/>
          <w:sz w:val="16"/>
          <w:szCs w:val="16"/>
        </w:rPr>
        <w:t>DBS</w:t>
      </w:r>
      <w:r>
        <w:rPr>
          <w:rFonts w:ascii="Dyslexie" w:eastAsia="Times New Roman" w:hAnsi="Dyslexie" w:cs="Times New Roman"/>
          <w:sz w:val="16"/>
          <w:szCs w:val="16"/>
        </w:rPr>
        <w:t>)</w:t>
      </w:r>
      <w:r w:rsidRPr="00D81C7B">
        <w:rPr>
          <w:rFonts w:ascii="Dyslexie" w:eastAsia="Times New Roman" w:hAnsi="Dyslexie" w:cs="Times New Roman"/>
          <w:sz w:val="16"/>
          <w:szCs w:val="16"/>
        </w:rPr>
        <w:t xml:space="preserve"> applicants who have a criminal record fairly and not discriminate automatically because of a conviction</w:t>
      </w:r>
      <w:r>
        <w:rPr>
          <w:rFonts w:ascii="Dyslexie" w:eastAsia="Times New Roman" w:hAnsi="Dyslexie" w:cs="Times New Roman"/>
          <w:sz w:val="16"/>
          <w:szCs w:val="16"/>
        </w:rPr>
        <w:t xml:space="preserve"> or other information revealed.</w:t>
      </w:r>
    </w:p>
    <w:p w:rsidR="00D81C7B" w:rsidRPr="00D81C7B" w:rsidRDefault="00D81C7B" w:rsidP="00D81C7B">
      <w:pPr>
        <w:spacing w:after="120" w:line="240" w:lineRule="auto"/>
        <w:jc w:val="both"/>
        <w:rPr>
          <w:rFonts w:ascii="Dyslexie" w:eastAsia="Times New Roman" w:hAnsi="Dyslexie" w:cs="Times New Roman"/>
          <w:sz w:val="16"/>
          <w:szCs w:val="16"/>
        </w:rPr>
      </w:pPr>
      <w:r w:rsidRPr="00D81C7B">
        <w:rPr>
          <w:rFonts w:ascii="Dyslexie" w:eastAsia="Times New Roman" w:hAnsi="Dyslexie" w:cs="Times New Roman"/>
          <w:sz w:val="16"/>
          <w:szCs w:val="16"/>
        </w:rPr>
        <w:t>The code also obliges registered bodies to have a written policy on the recruitment of ex-offenders; a copy of which can be given to DBS applicants at the outset of the recruitment pr</w:t>
      </w:r>
      <w:r>
        <w:rPr>
          <w:rFonts w:ascii="Dyslexie" w:eastAsia="Times New Roman" w:hAnsi="Dyslexie" w:cs="Times New Roman"/>
          <w:sz w:val="16"/>
          <w:szCs w:val="16"/>
        </w:rPr>
        <w:t>ocess.</w:t>
      </w:r>
    </w:p>
    <w:p w:rsidR="00D81C7B" w:rsidRDefault="00D81C7B" w:rsidP="00D81C7B">
      <w:pPr>
        <w:spacing w:after="120" w:line="240" w:lineRule="auto"/>
        <w:jc w:val="both"/>
        <w:rPr>
          <w:rFonts w:ascii="Dyslexie" w:eastAsia="Times New Roman" w:hAnsi="Dyslexie" w:cs="Times New Roman"/>
          <w:sz w:val="16"/>
          <w:szCs w:val="16"/>
        </w:rPr>
      </w:pPr>
      <w:r w:rsidRPr="00D81C7B">
        <w:rPr>
          <w:rFonts w:ascii="Dyslexie" w:eastAsia="Times New Roman" w:hAnsi="Dyslexie" w:cs="Times New Roman"/>
          <w:sz w:val="16"/>
          <w:szCs w:val="16"/>
        </w:rPr>
        <w:t>T</w:t>
      </w:r>
      <w:r>
        <w:rPr>
          <w:rFonts w:ascii="Dyslexie" w:eastAsia="Times New Roman" w:hAnsi="Dyslexie" w:cs="Times New Roman"/>
          <w:sz w:val="16"/>
          <w:szCs w:val="16"/>
        </w:rPr>
        <w:t>his policy is written in line with the model policy produced by the</w:t>
      </w:r>
      <w:r w:rsidRPr="00D81C7B">
        <w:rPr>
          <w:rFonts w:ascii="Dyslexie" w:eastAsia="Times New Roman" w:hAnsi="Dyslexie" w:cs="Times New Roman"/>
          <w:sz w:val="16"/>
          <w:szCs w:val="16"/>
        </w:rPr>
        <w:t xml:space="preserve"> DBS.</w:t>
      </w:r>
    </w:p>
    <w:p w:rsidR="00D81C7B" w:rsidRDefault="00D81C7B" w:rsidP="00D81C7B">
      <w:pPr>
        <w:spacing w:after="120" w:line="240" w:lineRule="auto"/>
        <w:jc w:val="both"/>
        <w:rPr>
          <w:rFonts w:ascii="Dyslexie" w:eastAsia="Times New Roman" w:hAnsi="Dyslexie" w:cs="Times New Roman"/>
          <w:sz w:val="16"/>
          <w:szCs w:val="16"/>
        </w:rPr>
      </w:pPr>
      <w:hyperlink r:id="rId8" w:history="1">
        <w:r w:rsidRPr="00DA0EF8">
          <w:rPr>
            <w:rStyle w:val="Hyperlink"/>
            <w:rFonts w:ascii="Dyslexie" w:eastAsia="Times New Roman" w:hAnsi="Dyslexie" w:cs="Times New Roman"/>
            <w:sz w:val="16"/>
            <w:szCs w:val="16"/>
          </w:rPr>
          <w:t>https://www.gov.uk/government/publications/dbs-sample-policy-on-the-recruitment-of-ex-offenders/sample-policy-on-the-recruitment-of-ex-offenders</w:t>
        </w:r>
      </w:hyperlink>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D81C7B" w:rsidRDefault="00D81C7B" w:rsidP="00D81C7B">
      <w:pPr>
        <w:spacing w:after="120" w:line="240" w:lineRule="auto"/>
        <w:jc w:val="both"/>
        <w:rPr>
          <w:rFonts w:ascii="Dyslexie" w:eastAsia="Times New Roman" w:hAnsi="Dyslexie" w:cs="Times New Roman"/>
          <w:b/>
          <w:sz w:val="16"/>
          <w:szCs w:val="16"/>
        </w:rPr>
      </w:pPr>
      <w:r w:rsidRPr="00D81C7B">
        <w:rPr>
          <w:rFonts w:ascii="Dyslexie" w:eastAsia="Times New Roman" w:hAnsi="Dyslexie" w:cs="Times New Roman"/>
          <w:b/>
          <w:sz w:val="16"/>
          <w:szCs w:val="16"/>
        </w:rPr>
        <w:t>SECTION TWO – FURTHER INFORMATION ABOUT CONVICTION INFORMATION</w:t>
      </w:r>
    </w:p>
    <w:p w:rsidR="00D81C7B" w:rsidRPr="00D81C7B" w:rsidRDefault="00D81C7B" w:rsidP="00D81C7B">
      <w:pPr>
        <w:spacing w:after="120" w:line="240" w:lineRule="auto"/>
        <w:jc w:val="both"/>
        <w:rPr>
          <w:rFonts w:ascii="Dyslexie" w:eastAsia="Times New Roman" w:hAnsi="Dyslexie" w:cs="Times New Roman"/>
          <w:sz w:val="16"/>
          <w:szCs w:val="16"/>
        </w:rPr>
      </w:pPr>
      <w:r w:rsidRPr="00D81C7B">
        <w:rPr>
          <w:rFonts w:ascii="Dyslexie" w:eastAsia="Times New Roman" w:hAnsi="Dyslexie" w:cs="Times New Roman"/>
          <w:sz w:val="16"/>
          <w:szCs w:val="16"/>
        </w:rPr>
        <w:t>On the 29 May 2013, legislation came into force that allows certain old and minor cautions and convictions to no l</w:t>
      </w:r>
      <w:r>
        <w:rPr>
          <w:rFonts w:ascii="Dyslexie" w:eastAsia="Times New Roman" w:hAnsi="Dyslexie" w:cs="Times New Roman"/>
          <w:sz w:val="16"/>
          <w:szCs w:val="16"/>
        </w:rPr>
        <w:t>onger be subject to disclosure.</w:t>
      </w:r>
    </w:p>
    <w:p w:rsidR="00D81C7B" w:rsidRPr="00D81C7B" w:rsidRDefault="00D81C7B" w:rsidP="00D81C7B">
      <w:pPr>
        <w:pStyle w:val="ListParagraph"/>
        <w:numPr>
          <w:ilvl w:val="0"/>
          <w:numId w:val="6"/>
        </w:numPr>
        <w:spacing w:after="120" w:line="240" w:lineRule="auto"/>
        <w:jc w:val="both"/>
        <w:rPr>
          <w:rFonts w:ascii="Dyslexie" w:eastAsia="Times New Roman" w:hAnsi="Dyslexie" w:cs="Times New Roman"/>
          <w:sz w:val="16"/>
          <w:szCs w:val="16"/>
        </w:rPr>
      </w:pPr>
      <w:r w:rsidRPr="00D81C7B">
        <w:rPr>
          <w:rFonts w:ascii="Dyslexie" w:eastAsia="Times New Roman" w:hAnsi="Dyslexie" w:cs="Times New Roman"/>
          <w:sz w:val="16"/>
          <w:szCs w:val="16"/>
        </w:rPr>
        <w:t>in addition, employers will no longer be able to take an individual’s old and minor cautions and convictions into account when making decisions</w:t>
      </w:r>
    </w:p>
    <w:p w:rsidR="00D81C7B" w:rsidRPr="00D81C7B" w:rsidRDefault="00D81C7B" w:rsidP="00D81C7B">
      <w:pPr>
        <w:pStyle w:val="ListParagraph"/>
        <w:numPr>
          <w:ilvl w:val="0"/>
          <w:numId w:val="6"/>
        </w:numPr>
        <w:spacing w:after="120" w:line="240" w:lineRule="auto"/>
        <w:jc w:val="both"/>
        <w:rPr>
          <w:rFonts w:ascii="Dyslexie" w:eastAsia="Times New Roman" w:hAnsi="Dyslexie" w:cs="Times New Roman"/>
          <w:sz w:val="16"/>
          <w:szCs w:val="16"/>
        </w:rPr>
      </w:pPr>
      <w:r w:rsidRPr="00D81C7B">
        <w:rPr>
          <w:rFonts w:ascii="Dyslexie" w:eastAsia="Times New Roman" w:hAnsi="Dyslexie" w:cs="Times New Roman"/>
          <w:sz w:val="16"/>
          <w:szCs w:val="16"/>
        </w:rPr>
        <w:t>all cautions and convictions for specified serious violent and sexual offences, and other specified offences of relevance for posts concerned with safeguarding children and vulnerable adults, will remain subject to disclosure. In addition, all convictions resulting in a custodial sentence, whether or not suspended, will remain subject to disclosure, as will all convictions where an individual has more than one conviction recorded</w:t>
      </w:r>
    </w:p>
    <w:p w:rsidR="00D81C7B" w:rsidRPr="00D81C7B" w:rsidRDefault="00D81C7B" w:rsidP="00D81C7B">
      <w:pPr>
        <w:pStyle w:val="ListParagraph"/>
        <w:numPr>
          <w:ilvl w:val="0"/>
          <w:numId w:val="6"/>
        </w:numPr>
        <w:spacing w:after="120" w:line="240" w:lineRule="auto"/>
        <w:jc w:val="both"/>
        <w:rPr>
          <w:rFonts w:ascii="Dyslexie" w:eastAsia="Times New Roman" w:hAnsi="Dyslexie" w:cs="Times New Roman"/>
          <w:sz w:val="16"/>
          <w:szCs w:val="16"/>
        </w:rPr>
      </w:pPr>
      <w:r w:rsidRPr="00D81C7B">
        <w:rPr>
          <w:rFonts w:ascii="Dyslexie" w:eastAsia="Times New Roman" w:hAnsi="Dyslexie" w:cs="Times New Roman"/>
          <w:sz w:val="16"/>
          <w:szCs w:val="16"/>
        </w:rPr>
        <w:t xml:space="preserve">applicants </w:t>
      </w:r>
      <w:r w:rsidRPr="00D81C7B">
        <w:rPr>
          <w:rFonts w:ascii="Dyslexie" w:eastAsia="Times New Roman" w:hAnsi="Dyslexie" w:cs="Times New Roman"/>
          <w:sz w:val="16"/>
          <w:szCs w:val="16"/>
        </w:rPr>
        <w:t xml:space="preserve">can be directed </w:t>
      </w:r>
      <w:r w:rsidRPr="00D81C7B">
        <w:rPr>
          <w:rFonts w:ascii="Dyslexie" w:eastAsia="Times New Roman" w:hAnsi="Dyslexie" w:cs="Times New Roman"/>
          <w:sz w:val="16"/>
          <w:szCs w:val="16"/>
        </w:rPr>
        <w:t>to the guidance and criteria which explains the filtering of old and minor cautions and convictions which are now ‘protected’ so not subject to disclosure to employers</w:t>
      </w:r>
    </w:p>
    <w:p w:rsidR="00D81C7B" w:rsidRDefault="00D81C7B" w:rsidP="00D81C7B">
      <w:pPr>
        <w:spacing w:after="120" w:line="240" w:lineRule="auto"/>
        <w:jc w:val="both"/>
        <w:rPr>
          <w:rFonts w:ascii="Dyslexie" w:eastAsia="Times New Roman" w:hAnsi="Dyslexie" w:cs="Times New Roman"/>
          <w:sz w:val="16"/>
          <w:szCs w:val="16"/>
        </w:rPr>
      </w:pPr>
    </w:p>
    <w:p w:rsidR="004A66BA" w:rsidRDefault="004A66BA" w:rsidP="00D81C7B">
      <w:pPr>
        <w:spacing w:after="120" w:line="240" w:lineRule="auto"/>
        <w:jc w:val="both"/>
        <w:rPr>
          <w:rFonts w:ascii="Dyslexie" w:eastAsia="Times New Roman" w:hAnsi="Dyslexie" w:cs="Times New Roman"/>
          <w:sz w:val="16"/>
          <w:szCs w:val="16"/>
        </w:rPr>
      </w:pPr>
      <w:bookmarkStart w:id="0" w:name="_GoBack"/>
      <w:bookmarkEnd w:id="0"/>
    </w:p>
    <w:p w:rsidR="00D81C7B" w:rsidRPr="00D81C7B" w:rsidRDefault="00D81C7B" w:rsidP="00D81C7B">
      <w:pPr>
        <w:spacing w:after="120" w:line="240" w:lineRule="auto"/>
        <w:jc w:val="both"/>
        <w:rPr>
          <w:rFonts w:ascii="Dyslexie" w:eastAsia="Times New Roman" w:hAnsi="Dyslexie" w:cs="Times New Roman"/>
          <w:b/>
          <w:sz w:val="16"/>
          <w:szCs w:val="16"/>
        </w:rPr>
      </w:pPr>
      <w:r w:rsidRPr="00D81C7B">
        <w:rPr>
          <w:rFonts w:ascii="Dyslexie" w:eastAsia="Times New Roman" w:hAnsi="Dyslexie" w:cs="Times New Roman"/>
          <w:b/>
          <w:sz w:val="16"/>
          <w:szCs w:val="16"/>
        </w:rPr>
        <w:t>SECTION THREE - ARRANGEMENTS</w:t>
      </w: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A</w:t>
      </w:r>
      <w:r w:rsidRPr="004A66BA">
        <w:rPr>
          <w:rFonts w:ascii="Dyslexie" w:eastAsia="Times New Roman" w:hAnsi="Dyslexie" w:cs="Times New Roman"/>
          <w:sz w:val="16"/>
          <w:szCs w:val="16"/>
        </w:rPr>
        <w:t xml:space="preserve">s an organisation assessing applicants’ suitability for positions which are included in the Rehabilitation of Offenders Act 1974 (Exceptions) Order using criminal record checks processed through the Disclosure and Barring Service (DBS), </w:t>
      </w:r>
      <w:r w:rsidRPr="004A66BA">
        <w:rPr>
          <w:rFonts w:ascii="Dyslexie" w:eastAsia="Times New Roman" w:hAnsi="Dyslexie" w:cs="Times New Roman"/>
          <w:sz w:val="16"/>
          <w:szCs w:val="16"/>
        </w:rPr>
        <w:t>Godinton Primary School</w:t>
      </w:r>
      <w:r w:rsidRPr="004A66BA">
        <w:rPr>
          <w:rFonts w:ascii="Dyslexie" w:eastAsia="Times New Roman" w:hAnsi="Dyslexie" w:cs="Times New Roman"/>
          <w:sz w:val="16"/>
          <w:szCs w:val="16"/>
        </w:rPr>
        <w:t xml:space="preserve"> complies fully with the code of practice and undertakes to treat all </w:t>
      </w:r>
      <w:r w:rsidRPr="004A66BA">
        <w:rPr>
          <w:rFonts w:ascii="Dyslexie" w:eastAsia="Times New Roman" w:hAnsi="Dyslexie" w:cs="Times New Roman"/>
          <w:sz w:val="16"/>
          <w:szCs w:val="16"/>
        </w:rPr>
        <w:lastRenderedPageBreak/>
        <w:t>applicants for positions fairly</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Godinton Primary School</w:t>
      </w:r>
      <w:r w:rsidRPr="004A66BA">
        <w:rPr>
          <w:rFonts w:ascii="Dyslexie" w:eastAsia="Times New Roman" w:hAnsi="Dyslexie" w:cs="Times New Roman"/>
          <w:sz w:val="16"/>
          <w:szCs w:val="16"/>
        </w:rPr>
        <w:t xml:space="preserve"> undertakes not to discriminate unfairly against any subject of a criminal record check on the basis of a conviction or other information revealed</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Godinton Primary School</w:t>
      </w:r>
      <w:r w:rsidRPr="004A66BA">
        <w:rPr>
          <w:rFonts w:ascii="Dyslexie" w:eastAsia="Times New Roman" w:hAnsi="Dyslexie" w:cs="Times New Roman"/>
          <w:sz w:val="16"/>
          <w:szCs w:val="16"/>
        </w:rPr>
        <w:t xml:space="preserve"> can only ask an individual to provide details of convictions and cautions that </w:t>
      </w:r>
      <w:r w:rsidRPr="004A66BA">
        <w:rPr>
          <w:rFonts w:ascii="Dyslexie" w:eastAsia="Times New Roman" w:hAnsi="Dyslexie" w:cs="Times New Roman"/>
          <w:sz w:val="16"/>
          <w:szCs w:val="16"/>
        </w:rPr>
        <w:t xml:space="preserve">Godinton Primary School </w:t>
      </w:r>
      <w:r w:rsidRPr="004A66BA">
        <w:rPr>
          <w:rFonts w:ascii="Dyslexie" w:eastAsia="Times New Roman" w:hAnsi="Dyslexie" w:cs="Times New Roman"/>
          <w:sz w:val="16"/>
          <w:szCs w:val="16"/>
        </w:rPr>
        <w:t>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Godinton Primary School</w:t>
      </w:r>
      <w:r w:rsidRPr="004A66BA">
        <w:rPr>
          <w:rFonts w:ascii="Dyslexie" w:eastAsia="Times New Roman" w:hAnsi="Dyslexie" w:cs="Times New Roman"/>
          <w:sz w:val="16"/>
          <w:szCs w:val="16"/>
        </w:rPr>
        <w:t xml:space="preserve"> can only ask an individual about convictions and cautions that are not protected</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Godinton Primary School is committed to the fair treatment of its staff, potential staff or users of its services, regardless of race, gender, religion, sexual orientation, responsibilities for dependants, age, physical/mental disability or offending background</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Godinton Primary School has a written policy on the recruitment of ex-offenders, which is made available to all DBS applicants at the start of the recruitment process</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Godinton Primary School actively promotes equality of opportunity for all with the right mix of talent, skills and potential and welcome applications from a wide range of candidates, including those with criminal records</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Godinton Primary School select all candidates for interview based on their skills, qualifications and experience</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A</w:t>
      </w:r>
      <w:r w:rsidRPr="004A66BA">
        <w:rPr>
          <w:rFonts w:ascii="Dyslexie" w:eastAsia="Times New Roman" w:hAnsi="Dyslexie" w:cs="Times New Roman"/>
          <w:sz w:val="16"/>
          <w:szCs w:val="16"/>
        </w:rPr>
        <w:t>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Godinton Primary School</w:t>
      </w:r>
      <w:r w:rsidRPr="004A66BA">
        <w:rPr>
          <w:rFonts w:ascii="Dyslexie" w:eastAsia="Times New Roman" w:hAnsi="Dyslexie" w:cs="Times New Roman"/>
          <w:sz w:val="16"/>
          <w:szCs w:val="16"/>
        </w:rPr>
        <w:t xml:space="preserve"> ensures that all those in </w:t>
      </w:r>
      <w:r w:rsidRPr="004A66BA">
        <w:rPr>
          <w:rFonts w:ascii="Dyslexie" w:eastAsia="Times New Roman" w:hAnsi="Dyslexie" w:cs="Times New Roman"/>
          <w:sz w:val="16"/>
          <w:szCs w:val="16"/>
        </w:rPr>
        <w:t>the school</w:t>
      </w:r>
      <w:r w:rsidRPr="004A66BA">
        <w:rPr>
          <w:rFonts w:ascii="Dyslexie" w:eastAsia="Times New Roman" w:hAnsi="Dyslexie" w:cs="Times New Roman"/>
          <w:sz w:val="16"/>
          <w:szCs w:val="16"/>
        </w:rPr>
        <w:t xml:space="preserve"> who are involved in the recruitment process have been suitably trained to identify and assess the relevance and circumstances of offences</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Godinton Primary School</w:t>
      </w:r>
      <w:r w:rsidRPr="004A66BA">
        <w:rPr>
          <w:rFonts w:ascii="Dyslexie" w:eastAsia="Times New Roman" w:hAnsi="Dyslexie" w:cs="Times New Roman"/>
          <w:sz w:val="16"/>
          <w:szCs w:val="16"/>
        </w:rPr>
        <w:t xml:space="preserve"> also ensures that they have received appropriate guidance and training in the relevant legislation relating to the employment of ex-offenders, e.g. the Rehabilitation of Offenders Act 1974</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A</w:t>
      </w:r>
      <w:r w:rsidRPr="004A66BA">
        <w:rPr>
          <w:rFonts w:ascii="Dyslexie" w:eastAsia="Times New Roman" w:hAnsi="Dyslexie" w:cs="Times New Roman"/>
          <w:sz w:val="16"/>
          <w:szCs w:val="16"/>
        </w:rPr>
        <w:t xml:space="preserve">t interview, or in a separate discussion, </w:t>
      </w:r>
      <w:r w:rsidRPr="004A66BA">
        <w:rPr>
          <w:rFonts w:ascii="Dyslexie" w:eastAsia="Times New Roman" w:hAnsi="Dyslexie" w:cs="Times New Roman"/>
          <w:sz w:val="16"/>
          <w:szCs w:val="16"/>
        </w:rPr>
        <w:t>the interview panel</w:t>
      </w:r>
      <w:r w:rsidRPr="004A66BA">
        <w:rPr>
          <w:rFonts w:ascii="Dyslexie" w:eastAsia="Times New Roman" w:hAnsi="Dyslexie" w:cs="Times New Roman"/>
          <w:sz w:val="16"/>
          <w:szCs w:val="16"/>
        </w:rPr>
        <w:t xml:space="preserve">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Godinton Primary School</w:t>
      </w:r>
      <w:r w:rsidRPr="004A66BA">
        <w:rPr>
          <w:rFonts w:ascii="Dyslexie" w:eastAsia="Times New Roman" w:hAnsi="Dyslexie" w:cs="Times New Roman"/>
          <w:sz w:val="16"/>
          <w:szCs w:val="16"/>
        </w:rPr>
        <w:t xml:space="preserve"> makes every subject of a criminal record check submitted to DBS aware of the existence of the code of practice and makes a copy available on request</w:t>
      </w:r>
    </w:p>
    <w:p w:rsidR="00D81C7B" w:rsidRPr="00D81C7B" w:rsidRDefault="00D81C7B" w:rsidP="00D81C7B">
      <w:pPr>
        <w:spacing w:after="120" w:line="240" w:lineRule="auto"/>
        <w:jc w:val="both"/>
        <w:rPr>
          <w:rFonts w:ascii="Dyslexie" w:eastAsia="Times New Roman" w:hAnsi="Dyslexie" w:cs="Times New Roman"/>
          <w:sz w:val="16"/>
          <w:szCs w:val="16"/>
        </w:rPr>
      </w:pPr>
    </w:p>
    <w:p w:rsidR="00497EC1"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Godinton Primary School undertakes to discuss any matter revealed on a DBS certificate with the individual seeking the position before withdrawing a conditional offer of employment.</w:t>
      </w:r>
    </w:p>
    <w:p w:rsidR="00D81C7B" w:rsidRDefault="00D81C7B" w:rsidP="00D81C7B">
      <w:pPr>
        <w:spacing w:after="120" w:line="240" w:lineRule="auto"/>
        <w:jc w:val="both"/>
        <w:rPr>
          <w:rFonts w:ascii="Dyslexie" w:eastAsia="Times New Roman" w:hAnsi="Dyslexie" w:cs="Times New Roman"/>
          <w:sz w:val="16"/>
          <w:szCs w:val="16"/>
        </w:rPr>
      </w:pPr>
    </w:p>
    <w:p w:rsidR="002A2F6A" w:rsidRPr="00170810" w:rsidRDefault="002A2F6A" w:rsidP="002A2F6A">
      <w:pPr>
        <w:spacing w:after="120" w:line="240" w:lineRule="auto"/>
        <w:jc w:val="both"/>
        <w:rPr>
          <w:rFonts w:ascii="Dyslexie" w:eastAsia="Times New Roman" w:hAnsi="Dyslexie" w:cs="Times New Roman"/>
          <w:b/>
          <w:sz w:val="16"/>
          <w:szCs w:val="16"/>
        </w:rPr>
      </w:pPr>
      <w:r w:rsidRPr="009C3A5D">
        <w:rPr>
          <w:rFonts w:ascii="Dyslexie" w:eastAsia="Times New Roman" w:hAnsi="Dyslexie" w:cs="Times New Roman"/>
          <w:b/>
          <w:sz w:val="16"/>
          <w:szCs w:val="16"/>
        </w:rPr>
        <w:t xml:space="preserve">SECTION </w:t>
      </w:r>
      <w:r w:rsidR="00D81C7B">
        <w:rPr>
          <w:rFonts w:ascii="Dyslexie" w:eastAsia="Times New Roman" w:hAnsi="Dyslexie" w:cs="Times New Roman"/>
          <w:b/>
          <w:sz w:val="16"/>
          <w:szCs w:val="16"/>
        </w:rPr>
        <w:t>FOUR</w:t>
      </w:r>
      <w:r w:rsidRPr="009C3A5D">
        <w:rPr>
          <w:rFonts w:ascii="Dyslexie" w:eastAsia="Times New Roman" w:hAnsi="Dyslexie" w:cs="Times New Roman"/>
          <w:b/>
          <w:sz w:val="16"/>
          <w:szCs w:val="16"/>
        </w:rPr>
        <w:t xml:space="preserve"> - </w:t>
      </w:r>
      <w:r w:rsidRPr="00170810">
        <w:rPr>
          <w:rFonts w:ascii="Dyslexie" w:eastAsia="Times New Roman" w:hAnsi="Dyslexie" w:cs="Times New Roman"/>
          <w:b/>
          <w:sz w:val="16"/>
          <w:szCs w:val="16"/>
        </w:rPr>
        <w:t>EQUALITY STATEMENT (Refer also to specific policies for equal opportunities and racial equality)</w:t>
      </w:r>
    </w:p>
    <w:p w:rsidR="002A2F6A" w:rsidRPr="00170810" w:rsidRDefault="002A2F6A" w:rsidP="002A2F6A">
      <w:pPr>
        <w:spacing w:after="120" w:line="240" w:lineRule="auto"/>
        <w:jc w:val="both"/>
        <w:rPr>
          <w:rFonts w:ascii="Dyslexie" w:eastAsia="Times New Roman" w:hAnsi="Dyslexie" w:cs="Times New Roman"/>
          <w:sz w:val="16"/>
          <w:szCs w:val="16"/>
        </w:rPr>
      </w:pPr>
      <w:r w:rsidRPr="00170810">
        <w:rPr>
          <w:rFonts w:ascii="Dyslexie" w:eastAsia="Times New Roman" w:hAnsi="Dyslexie" w:cs="Times New Roman"/>
          <w:sz w:val="16"/>
          <w:szCs w:val="16"/>
        </w:rPr>
        <w:t>At Godinton Primary School, we are committed to ensuring equality of opportunity for all members of our school community irrespective of race, religion or belief, gender, gender reassignment, disability, sexual orientation, age, pregnancy or maternity, marriage and civil partnership or socio-economic background. We are determined to develop a culture of inclusion and diversity in which all those connected to the school feel proud of their identity and ability to participate fully in school life.</w:t>
      </w:r>
    </w:p>
    <w:p w:rsidR="002A2F6A" w:rsidRPr="00170810" w:rsidRDefault="002A2F6A" w:rsidP="002A2F6A">
      <w:pPr>
        <w:spacing w:after="120" w:line="240" w:lineRule="auto"/>
        <w:jc w:val="both"/>
        <w:rPr>
          <w:rFonts w:ascii="Dyslexie" w:eastAsia="Times New Roman" w:hAnsi="Dyslexie" w:cs="Times New Roman"/>
          <w:sz w:val="16"/>
          <w:szCs w:val="16"/>
        </w:rPr>
      </w:pPr>
      <w:r w:rsidRPr="00170810">
        <w:rPr>
          <w:rFonts w:ascii="Dyslexie" w:eastAsia="Times New Roman" w:hAnsi="Dyslexie" w:cs="Times New Roman"/>
          <w:sz w:val="16"/>
          <w:szCs w:val="16"/>
        </w:rPr>
        <w:t>We tackle discrimination through the positive promotion of equality by challenging stereotypes and by creating an environment that champions respect for all. At Godinton Primary School, we believe that diversity is a strength that should be respected and celebrated by all those who learn, teach and visit us.</w:t>
      </w:r>
    </w:p>
    <w:p w:rsidR="002A2F6A" w:rsidRPr="00170810" w:rsidRDefault="002A2F6A" w:rsidP="002A2F6A">
      <w:pPr>
        <w:spacing w:after="120" w:line="240" w:lineRule="auto"/>
        <w:jc w:val="both"/>
        <w:rPr>
          <w:rFonts w:ascii="Dyslexie" w:eastAsia="Times New Roman" w:hAnsi="Dyslexie" w:cs="Times New Roman"/>
          <w:sz w:val="16"/>
          <w:szCs w:val="16"/>
        </w:rPr>
      </w:pPr>
      <w:r w:rsidRPr="00170810">
        <w:rPr>
          <w:rFonts w:ascii="Dyslexie" w:eastAsia="Times New Roman" w:hAnsi="Dyslexie" w:cs="Times New Roman"/>
          <w:sz w:val="16"/>
          <w:szCs w:val="16"/>
        </w:rPr>
        <w:t>All school policies have an explicit aim of promoting equality and will be reviewed in terms of their contribution and effectiveness in achieving this aim.</w:t>
      </w:r>
    </w:p>
    <w:p w:rsidR="002A2F6A" w:rsidRDefault="002A2F6A" w:rsidP="00497EC1">
      <w:pPr>
        <w:spacing w:after="120" w:line="240" w:lineRule="auto"/>
        <w:jc w:val="both"/>
        <w:rPr>
          <w:rFonts w:ascii="Dyslexie" w:eastAsia="Times New Roman" w:hAnsi="Dyslexie" w:cs="Times New Roman"/>
          <w:sz w:val="16"/>
          <w:szCs w:val="16"/>
        </w:rPr>
      </w:pPr>
    </w:p>
    <w:p w:rsidR="002A2F6A" w:rsidRPr="00497EC1" w:rsidRDefault="002A2F6A" w:rsidP="00497EC1">
      <w:pPr>
        <w:spacing w:after="120" w:line="240" w:lineRule="auto"/>
        <w:jc w:val="both"/>
        <w:rPr>
          <w:rFonts w:ascii="Dyslexie" w:eastAsia="Times New Roman" w:hAnsi="Dyslexie" w:cs="Times New Roman"/>
          <w:sz w:val="16"/>
          <w:szCs w:val="16"/>
        </w:rPr>
      </w:pPr>
    </w:p>
    <w:sectPr w:rsidR="002A2F6A" w:rsidRPr="00497EC1">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5AA" w:rsidRDefault="00FB4E75">
      <w:pPr>
        <w:spacing w:after="0" w:line="240" w:lineRule="auto"/>
      </w:pPr>
      <w:r>
        <w:separator/>
      </w:r>
    </w:p>
  </w:endnote>
  <w:endnote w:type="continuationSeparator" w:id="0">
    <w:p w:rsidR="004875AA" w:rsidRDefault="00FB4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yslexie">
    <w:panose1 w:val="02000000000000000000"/>
    <w:charset w:val="00"/>
    <w:family w:val="auto"/>
    <w:pitch w:val="variable"/>
    <w:sig w:usb0="A00002AF" w:usb1="0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5AA" w:rsidRDefault="004A66BA">
    <w:pPr>
      <w:pStyle w:val="Footer"/>
      <w:rPr>
        <w:rFonts w:ascii="Dyslexie" w:hAnsi="Dyslexie"/>
        <w:color w:val="000099"/>
        <w:sz w:val="16"/>
        <w:szCs w:val="24"/>
      </w:rPr>
    </w:pPr>
    <w:sdt>
      <w:sdtPr>
        <w:rPr>
          <w:rFonts w:ascii="Dyslexie" w:hAnsi="Dyslexie"/>
          <w:color w:val="000099"/>
          <w:sz w:val="16"/>
          <w:szCs w:val="24"/>
        </w:rPr>
        <w:alias w:val="Author"/>
        <w:id w:val="54214575"/>
        <w:placeholder>
          <w:docPart w:val="EC0B48F970BA4F64B5708B83B37273D5"/>
        </w:placeholder>
        <w:dataBinding w:prefixMappings="xmlns:ns0='http://schemas.openxmlformats.org/package/2006/metadata/core-properties' xmlns:ns1='http://purl.org/dc/elements/1.1/'" w:xpath="/ns0:coreProperties[1]/ns1:creator[1]" w:storeItemID="{6C3C8BC8-F283-45AE-878A-BAB7291924A1}"/>
        <w:text/>
      </w:sdtPr>
      <w:sdtEndPr/>
      <w:sdtContent>
        <w:r w:rsidR="00D81C7B">
          <w:rPr>
            <w:rFonts w:ascii="Dyslexie" w:hAnsi="Dyslexie"/>
            <w:color w:val="000099"/>
            <w:sz w:val="16"/>
            <w:szCs w:val="24"/>
          </w:rPr>
          <w:t xml:space="preserve">Recruitment and Employment of Ex-Offenders </w:t>
        </w:r>
        <w:r w:rsidR="00FB4E75">
          <w:rPr>
            <w:rFonts w:ascii="Dyslexie" w:hAnsi="Dyslexie"/>
            <w:color w:val="000099"/>
            <w:sz w:val="16"/>
            <w:szCs w:val="24"/>
          </w:rPr>
          <w:t>Policy – Godinton Primary School</w:t>
        </w:r>
      </w:sdtContent>
    </w:sdt>
  </w:p>
  <w:p w:rsidR="004875AA" w:rsidRDefault="00FB4E75">
    <w:pPr>
      <w:pStyle w:val="Footer"/>
    </w:pPr>
    <w:r>
      <w:rPr>
        <w:noProof/>
        <w:lang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4875AA" w:rsidRDefault="00FB4E75">
                          <w:pPr>
                            <w:pStyle w:val="Footer"/>
                            <w:jc w:val="right"/>
                            <w:rPr>
                              <w:rFonts w:ascii="Dyslexie" w:hAnsi="Dyslexie"/>
                              <w:color w:val="000099"/>
                              <w:sz w:val="24"/>
                              <w:szCs w:val="40"/>
                            </w:rPr>
                          </w:pPr>
                          <w:r>
                            <w:rPr>
                              <w:rFonts w:ascii="Dyslexie" w:hAnsi="Dyslexie"/>
                              <w:color w:val="000099"/>
                              <w:sz w:val="24"/>
                              <w:szCs w:val="40"/>
                            </w:rPr>
                            <w:fldChar w:fldCharType="begin"/>
                          </w:r>
                          <w:r>
                            <w:rPr>
                              <w:rFonts w:ascii="Dyslexie" w:hAnsi="Dyslexie"/>
                              <w:color w:val="000099"/>
                              <w:sz w:val="24"/>
                              <w:szCs w:val="40"/>
                            </w:rPr>
                            <w:instrText xml:space="preserve"> PAGE  \* Arabic  \* MERGEFORMAT </w:instrText>
                          </w:r>
                          <w:r>
                            <w:rPr>
                              <w:rFonts w:ascii="Dyslexie" w:hAnsi="Dyslexie"/>
                              <w:color w:val="000099"/>
                              <w:sz w:val="24"/>
                              <w:szCs w:val="40"/>
                            </w:rPr>
                            <w:fldChar w:fldCharType="separate"/>
                          </w:r>
                          <w:r w:rsidR="004A66BA">
                            <w:rPr>
                              <w:rFonts w:ascii="Dyslexie" w:hAnsi="Dyslexie"/>
                              <w:noProof/>
                              <w:color w:val="000099"/>
                              <w:sz w:val="24"/>
                              <w:szCs w:val="40"/>
                            </w:rPr>
                            <w:t>2</w:t>
                          </w:r>
                          <w:r>
                            <w:rPr>
                              <w:rFonts w:ascii="Dyslexie" w:hAnsi="Dyslexie"/>
                              <w:color w:val="000099"/>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4875AA" w:rsidRDefault="00FB4E75">
                    <w:pPr>
                      <w:pStyle w:val="Footer"/>
                      <w:jc w:val="right"/>
                      <w:rPr>
                        <w:rFonts w:ascii="Dyslexie" w:hAnsi="Dyslexie"/>
                        <w:color w:val="000099"/>
                        <w:sz w:val="24"/>
                        <w:szCs w:val="40"/>
                      </w:rPr>
                    </w:pPr>
                    <w:r>
                      <w:rPr>
                        <w:rFonts w:ascii="Dyslexie" w:hAnsi="Dyslexie"/>
                        <w:color w:val="000099"/>
                        <w:sz w:val="24"/>
                        <w:szCs w:val="40"/>
                      </w:rPr>
                      <w:fldChar w:fldCharType="begin"/>
                    </w:r>
                    <w:r>
                      <w:rPr>
                        <w:rFonts w:ascii="Dyslexie" w:hAnsi="Dyslexie"/>
                        <w:color w:val="000099"/>
                        <w:sz w:val="24"/>
                        <w:szCs w:val="40"/>
                      </w:rPr>
                      <w:instrText xml:space="preserve"> PAGE  \* Arabic  \* MERGEFORMAT </w:instrText>
                    </w:r>
                    <w:r>
                      <w:rPr>
                        <w:rFonts w:ascii="Dyslexie" w:hAnsi="Dyslexie"/>
                        <w:color w:val="000099"/>
                        <w:sz w:val="24"/>
                        <w:szCs w:val="40"/>
                      </w:rPr>
                      <w:fldChar w:fldCharType="separate"/>
                    </w:r>
                    <w:r w:rsidR="004A66BA">
                      <w:rPr>
                        <w:rFonts w:ascii="Dyslexie" w:hAnsi="Dyslexie"/>
                        <w:noProof/>
                        <w:color w:val="000099"/>
                        <w:sz w:val="24"/>
                        <w:szCs w:val="40"/>
                      </w:rPr>
                      <w:t>2</w:t>
                    </w:r>
                    <w:r>
                      <w:rPr>
                        <w:rFonts w:ascii="Dyslexie" w:hAnsi="Dyslexie"/>
                        <w:color w:val="000099"/>
                        <w:sz w:val="24"/>
                        <w:szCs w:val="40"/>
                      </w:rPr>
                      <w:fldChar w:fldCharType="end"/>
                    </w:r>
                  </w:p>
                </w:txbxContent>
              </v:textbox>
              <w10:wrap anchorx="margin" anchory="margin"/>
            </v:shape>
          </w:pict>
        </mc:Fallback>
      </mc:AlternateContent>
    </w:r>
    <w:r>
      <w:rPr>
        <w:noProof/>
        <w:color w:val="5B9BD5" w:themeColor="accent1"/>
        <w:lang w:eastAsia="en-GB"/>
      </w:rPr>
      <mc:AlternateContent>
        <mc:Choice Requires="wps">
          <w:drawing>
            <wp:anchor distT="91440" distB="91440" distL="114300" distR="114300" simplePos="0" relativeHeight="251660288" behindDoc="1" locked="0" layoutInCell="1" allowOverlap="1">
              <wp:simplePos x="0" y="0"/>
              <wp:positionH relativeFrom="margin">
                <wp:align>center</wp:align>
              </wp:positionH>
              <wp:positionV relativeFrom="bottomMargin">
                <wp:align>top</wp:align>
              </wp:positionV>
              <wp:extent cx="5943600" cy="36195"/>
              <wp:effectExtent l="0" t="0" r="2540" b="1905"/>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00009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5484345A"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" fillcolor="#009" stroked="f" strokeweight="1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5AA" w:rsidRDefault="00FB4E75">
      <w:pPr>
        <w:spacing w:after="0" w:line="240" w:lineRule="auto"/>
      </w:pPr>
      <w:r>
        <w:separator/>
      </w:r>
    </w:p>
  </w:footnote>
  <w:footnote w:type="continuationSeparator" w:id="0">
    <w:p w:rsidR="004875AA" w:rsidRDefault="00FB4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38B4"/>
    <w:multiLevelType w:val="hybridMultilevel"/>
    <w:tmpl w:val="16B0D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359B3"/>
    <w:multiLevelType w:val="hybridMultilevel"/>
    <w:tmpl w:val="F0C2E462"/>
    <w:lvl w:ilvl="0" w:tplc="708C329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FB0129"/>
    <w:multiLevelType w:val="hybridMultilevel"/>
    <w:tmpl w:val="85744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3472E4"/>
    <w:multiLevelType w:val="hybridMultilevel"/>
    <w:tmpl w:val="C68A5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6D416B"/>
    <w:multiLevelType w:val="hybridMultilevel"/>
    <w:tmpl w:val="832C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D7190D"/>
    <w:multiLevelType w:val="multilevel"/>
    <w:tmpl w:val="7504B53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BF23F4E"/>
    <w:multiLevelType w:val="multilevel"/>
    <w:tmpl w:val="93325BD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6"/>
  </w:num>
  <w:num w:numId="3">
    <w:abstractNumId w:val="1"/>
  </w:num>
  <w:num w:numId="4">
    <w:abstractNumId w:val="3"/>
  </w:num>
  <w:num w:numId="5">
    <w:abstractNumId w:val="4"/>
  </w:num>
  <w:num w:numId="6">
    <w:abstractNumId w:val="0"/>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5AA"/>
    <w:rsid w:val="002065AA"/>
    <w:rsid w:val="002A2F6A"/>
    <w:rsid w:val="002D5DD5"/>
    <w:rsid w:val="00400444"/>
    <w:rsid w:val="004875AA"/>
    <w:rsid w:val="00497EC1"/>
    <w:rsid w:val="004A66BA"/>
    <w:rsid w:val="005C5778"/>
    <w:rsid w:val="008903A4"/>
    <w:rsid w:val="00D81C7B"/>
    <w:rsid w:val="00EA2397"/>
    <w:rsid w:val="00FB4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CF289DA"/>
  <w15:docId w15:val="{1F9E3BD8-51EF-4C41-859A-D27A1EA3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Arial" w:eastAsia="Times New Roman" w:hAnsi="Arial" w:cs="Times New Roman"/>
      <w:b/>
      <w:sz w:val="32"/>
      <w:szCs w:val="20"/>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rPr>
      <w:rFonts w:ascii="Arial" w:eastAsia="Times New Roman" w:hAnsi="Arial" w:cs="Times New Roman"/>
      <w:b/>
      <w:sz w:val="32"/>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2909F619802848F09E01365C32F34654">
    <w:name w:val="2909F619802848F09E01365C32F34654"/>
    <w:pPr>
      <w:spacing w:after="200" w:line="276" w:lineRule="auto"/>
    </w:pPr>
    <w:rPr>
      <w:rFonts w:eastAsiaTheme="minorEastAsia"/>
      <w:lang w:val="en-US" w:eastAsia="ja-JP"/>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5B9BD5" w:themeColor="accent1"/>
    </w:rPr>
  </w:style>
  <w:style w:type="paragraph" w:customStyle="1" w:styleId="aLCPSubhead">
    <w:name w:val="a LCP Subhead"/>
    <w:autoRedefine/>
    <w:pPr>
      <w:spacing w:after="120" w:line="240" w:lineRule="auto"/>
    </w:pPr>
    <w:rPr>
      <w:rFonts w:ascii="Arial" w:eastAsia="Times New Roman" w:hAnsi="Arial" w:cs="Arial"/>
      <w:b/>
    </w:rPr>
  </w:style>
  <w:style w:type="paragraph" w:customStyle="1" w:styleId="aLCPBodytext">
    <w:name w:val="a LCP Body text"/>
    <w:autoRedefine/>
    <w:pPr>
      <w:spacing w:after="120" w:line="240" w:lineRule="auto"/>
    </w:pPr>
    <w:rPr>
      <w:rFonts w:ascii="Arial" w:eastAsia="Times New Roman" w:hAnsi="Arial"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sample-policy-on-the-recruitment-of-ex-offenders/sample-policy-on-the-recruitment-of-ex-offend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0B48F970BA4F64B5708B83B37273D5"/>
        <w:category>
          <w:name w:val="General"/>
          <w:gallery w:val="placeholder"/>
        </w:category>
        <w:types>
          <w:type w:val="bbPlcHdr"/>
        </w:types>
        <w:behaviors>
          <w:behavior w:val="content"/>
        </w:behaviors>
        <w:guid w:val="{B8636231-C787-4068-B01E-A32A5AF5948E}"/>
      </w:docPartPr>
      <w:docPartBody>
        <w:p w:rsidR="00AA2AB8" w:rsidRDefault="00AA2AB8">
          <w:pPr>
            <w:pStyle w:val="EC0B48F970BA4F64B5708B83B37273D5"/>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yslexie">
    <w:panose1 w:val="02000000000000000000"/>
    <w:charset w:val="00"/>
    <w:family w:val="auto"/>
    <w:pitch w:val="variable"/>
    <w:sig w:usb0="A00002AF" w:usb1="0000004A"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AB8"/>
    <w:rsid w:val="00AA2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F1D80ACADA4125880B6146BAC4E40A">
    <w:name w:val="58F1D80ACADA4125880B6146BAC4E40A"/>
  </w:style>
  <w:style w:type="paragraph" w:customStyle="1" w:styleId="CFAD34EC0D934E8B8B2FB294F192FB67">
    <w:name w:val="CFAD34EC0D934E8B8B2FB294F192FB67"/>
  </w:style>
  <w:style w:type="paragraph" w:customStyle="1" w:styleId="9803E99E7FFD4083B624866C315D8349">
    <w:name w:val="9803E99E7FFD4083B624866C315D8349"/>
  </w:style>
  <w:style w:type="paragraph" w:customStyle="1" w:styleId="EC0B48F970BA4F64B5708B83B37273D5">
    <w:name w:val="EC0B48F970BA4F64B5708B83B37273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E57F9B5C</Template>
  <TotalTime>1</TotalTime>
  <Pages>4</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Godinton Primary School, Ashford</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Recruitment and Employment of Ex-Offenders Policy – Godinton Primary School</dc:creator>
  <cp:lastModifiedBy>Miss TALBOT</cp:lastModifiedBy>
  <cp:revision>3</cp:revision>
  <cp:lastPrinted>2017-03-29T13:29:00Z</cp:lastPrinted>
  <dcterms:created xsi:type="dcterms:W3CDTF">2022-01-07T13:59:00Z</dcterms:created>
  <dcterms:modified xsi:type="dcterms:W3CDTF">2022-01-07T13:59:00Z</dcterms:modified>
</cp:coreProperties>
</file>