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left="533" w:right="965" w:firstLine="1366"/>
      </w:pPr>
      <w:r>
        <w:rPr>
          <w:noProof/>
          <w:color w:val="000000"/>
        </w:rPr>
        <w:drawing>
          <wp:inline distT="19050" distB="19050" distL="19050" distR="19050">
            <wp:extent cx="1647825" cy="723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723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D5008" w:rsidRDefault="00AD500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left="533" w:right="965" w:firstLine="1366"/>
      </w:pP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03" w:lineRule="auto"/>
        <w:ind w:left="533" w:right="965" w:firstLine="1366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Job Description </w:t>
      </w:r>
    </w:p>
    <w:tbl>
      <w:tblPr>
        <w:tblStyle w:val="a"/>
        <w:tblW w:w="9180" w:type="dxa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60"/>
        <w:gridCol w:w="6920"/>
      </w:tblGrid>
      <w:tr w:rsidR="00AD5008">
        <w:trPr>
          <w:trHeight w:val="420"/>
        </w:trPr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0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Job Title 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Higher Level Teaching Assistant</w:t>
            </w:r>
          </w:p>
        </w:tc>
      </w:tr>
      <w:tr w:rsidR="00AD5008">
        <w:trPr>
          <w:trHeight w:val="420"/>
        </w:trPr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8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Grade 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3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Grade C2</w:t>
            </w:r>
          </w:p>
        </w:tc>
      </w:tr>
      <w:tr w:rsidR="00AD5008">
        <w:trPr>
          <w:trHeight w:val="1240"/>
        </w:trPr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Hours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4" w:line="240" w:lineRule="auto"/>
              <w:ind w:left="147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School 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32.5 hours per week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4" w:line="240" w:lineRule="auto"/>
              <w:ind w:left="146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Term-time only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9" w:line="240" w:lineRule="auto"/>
              <w:ind w:left="1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Barnsole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Primary School </w:t>
            </w:r>
          </w:p>
        </w:tc>
      </w:tr>
      <w:tr w:rsidR="00AD5008">
        <w:trPr>
          <w:trHeight w:val="420"/>
        </w:trPr>
        <w:tc>
          <w:tcPr>
            <w:tcW w:w="2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56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Reports </w:t>
            </w:r>
          </w:p>
        </w:tc>
        <w:tc>
          <w:tcPr>
            <w:tcW w:w="6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65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None</w:t>
            </w:r>
          </w:p>
        </w:tc>
      </w:tr>
    </w:tbl>
    <w:p w:rsidR="00AD5008" w:rsidRDefault="00AD50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D5008" w:rsidRDefault="00AD50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6"/>
        <w:rPr>
          <w:rFonts w:ascii="Kufam" w:eastAsia="Kufam" w:hAnsi="Kufam" w:cs="Kufam"/>
          <w:b/>
          <w:color w:val="000000"/>
        </w:rPr>
      </w:pPr>
      <w:r>
        <w:rPr>
          <w:rFonts w:ascii="Kufam" w:eastAsia="Kufam" w:hAnsi="Kufam" w:cs="Kufam"/>
          <w:b/>
          <w:color w:val="000000"/>
        </w:rPr>
        <w:t xml:space="preserve">Purpose of the Job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929" w:right="1505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Work with class teachers to raise the learning and attainment of pupils </w:t>
      </w: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Promote pupils’ independence, self-esteem and social inclusion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1282" w:right="1341" w:hanging="353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Give support to pupils, individually or in groups, so they can access the curriculum, take part in learning and experience a sense of achievement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566"/>
        <w:rPr>
          <w:rFonts w:ascii="Kufam" w:eastAsia="Kufam" w:hAnsi="Kufam" w:cs="Kufam"/>
          <w:b/>
          <w:color w:val="000000"/>
        </w:rPr>
      </w:pPr>
      <w:r>
        <w:rPr>
          <w:rFonts w:ascii="Kufam" w:eastAsia="Kufam" w:hAnsi="Kufam" w:cs="Kufam"/>
          <w:b/>
          <w:color w:val="000000"/>
        </w:rPr>
        <w:t xml:space="preserve">Responsibilities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569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i/>
          <w:color w:val="000000"/>
        </w:rPr>
        <w:t xml:space="preserve">Teaching and learning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1280" w:right="839" w:hanging="350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Demonstrate an informed and efficient approach to teaching and learning by </w:t>
      </w:r>
      <w:r>
        <w:rPr>
          <w:rFonts w:ascii="Open Sans" w:eastAsia="Open Sans" w:hAnsi="Open Sans" w:cs="Open Sans"/>
          <w:color w:val="000000"/>
        </w:rPr>
        <w:t>adopting relevant strategies to support the work of the teacher and increase achievement of all pupils including, where appropriate, those with special educational needs and disabil</w:t>
      </w:r>
      <w:r>
        <w:rPr>
          <w:rFonts w:ascii="Open Sans" w:eastAsia="Open Sans" w:hAnsi="Open Sans" w:cs="Open Sans"/>
          <w:color w:val="000000"/>
        </w:rPr>
        <w:t xml:space="preserve">ities (SEND)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1288" w:right="1030" w:hanging="359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Promote, support and facilitate inclusion by encouraging participation of all pupils in learning and extracurricular activities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1281" w:right="983" w:hanging="351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Use effective behaviour management strategies consistently in line with the school’s policy and procedures </w:t>
      </w:r>
    </w:p>
    <w:p w:rsidR="00B45AB6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929" w:right="477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Support class teachers with maintaining good order and discipline among pupils, managing behaviour effectively to ensure a good and safe learning environment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929" w:right="477"/>
        <w:rPr>
          <w:rFonts w:ascii="Open Sans" w:eastAsia="Open Sans" w:hAnsi="Open Sans" w:cs="Open Sans"/>
          <w:color w:val="000000"/>
        </w:rPr>
      </w:pPr>
      <w:bookmarkStart w:id="0" w:name="_GoBack"/>
      <w:bookmarkEnd w:id="0"/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>Organise and manage teaching space and resources to help maintain a stimulating and safe learn</w:t>
      </w:r>
      <w:r>
        <w:rPr>
          <w:rFonts w:ascii="Open Sans" w:eastAsia="Open Sans" w:hAnsi="Open Sans" w:cs="Open Sans"/>
          <w:color w:val="000000"/>
        </w:rPr>
        <w:t xml:space="preserve">ing environment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929" w:right="1179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Observe pupil performance and pass observations on to the class teacher </w:t>
      </w: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Supervise a class if the teacher is temporarily unavailable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929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Use ICT skills to advance pupils’ learning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left="929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Undertake any other relevant duties given by the class teacher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929" w:right="747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To cover and lead class teaching (under supervision) as and when appropriate </w:t>
      </w: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Direct the work, where relevant, of other adults in supporting learning </w:t>
      </w: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>Add any other duties of particular re</w:t>
      </w:r>
      <w:r>
        <w:rPr>
          <w:rFonts w:ascii="Open Sans" w:eastAsia="Open Sans" w:hAnsi="Open Sans" w:cs="Open Sans"/>
          <w:color w:val="000000"/>
        </w:rPr>
        <w:t xml:space="preserve">levance to your school and the role.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32" w:line="240" w:lineRule="auto"/>
        <w:ind w:right="672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Page 1 of 4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59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i/>
          <w:color w:val="000000"/>
        </w:rPr>
        <w:t xml:space="preserve">Planning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1288" w:right="410" w:hanging="359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Contribute to effective assessment and planning by supporting the monitoring, recording and reporting of pupil performance and progress as appropriate to the level of the role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929" w:right="1561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Read and understand lesson plans shared prior to lessons, if available </w:t>
      </w: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Prepare the classroom for lessons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1288" w:right="791" w:hanging="359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Use their area(s) of expertise to contribute to the planning and preparation of learning activities, and to plan their role in learning activities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1288" w:right="1275" w:hanging="359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>Use allocated time to devise clearly structured activities that interest and motivate learners and advance</w:t>
      </w:r>
      <w:r>
        <w:rPr>
          <w:rFonts w:ascii="Open Sans" w:eastAsia="Open Sans" w:hAnsi="Open Sans" w:cs="Open Sans"/>
          <w:color w:val="000000"/>
        </w:rPr>
        <w:t xml:space="preserve"> their learning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929" w:right="1228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Plan how they will support the inclusion of pupils in the learning activities </w:t>
      </w: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Add any other duties of particular relevance to your school and the role.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573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i/>
          <w:color w:val="000000"/>
        </w:rPr>
        <w:t xml:space="preserve">Working with colleagues and other relevant professionals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1280" w:right="558" w:hanging="350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Communicate effectively with other staff members and pupils, and with parents and carers under the direction of the class teacher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1280" w:right="538" w:hanging="350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>Communicate their knowledge and understanding of pupils to other school staff and education, health and social care profess</w:t>
      </w:r>
      <w:r>
        <w:rPr>
          <w:rFonts w:ascii="Open Sans" w:eastAsia="Open Sans" w:hAnsi="Open Sans" w:cs="Open Sans"/>
          <w:color w:val="000000"/>
        </w:rPr>
        <w:t xml:space="preserve">ionals, so that informed decision making can take place on intervention and provision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1272" w:right="931" w:hanging="343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With the class teacher, keep other professionals accurately informed of performance and progress or concerns they may have about the pupils they work with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929" w:right="541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Understand their role in order to be able to work collaboratively with classroom teachers and other colleagues, including specialist advisory teachers </w:t>
      </w: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Collaborate and work with colleagues and other relevant professionals within and beyond the school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929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>D</w:t>
      </w:r>
      <w:r>
        <w:rPr>
          <w:rFonts w:ascii="Open Sans" w:eastAsia="Open Sans" w:hAnsi="Open Sans" w:cs="Open Sans"/>
          <w:color w:val="000000"/>
        </w:rPr>
        <w:t xml:space="preserve">evelop effective professional relationships with colleagues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573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i/>
          <w:color w:val="000000"/>
        </w:rPr>
        <w:t xml:space="preserve">Whole-school organisation, strategy and development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1270" w:right="697" w:hanging="340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Contribute to the development, implementation and evaluation of the school’s policies, practices and procedures, so as to support the school’s values and vision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929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Make a positive contribution to the wider life and ethos of the school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559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i/>
          <w:color w:val="000000"/>
        </w:rPr>
        <w:t xml:space="preserve">Professional development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929" w:right="694"/>
        <w:jc w:val="center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Help keep their own knowledge and understanding relevant and up-to-date by reflecting on their own practice, liaising with school leaders, and identifying relevant professional development to improve personal effectiveness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929" w:right="1448"/>
        <w:jc w:val="center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>Ta</w:t>
      </w:r>
      <w:r>
        <w:rPr>
          <w:rFonts w:ascii="Open Sans" w:eastAsia="Open Sans" w:hAnsi="Open Sans" w:cs="Open Sans"/>
          <w:color w:val="000000"/>
        </w:rPr>
        <w:t xml:space="preserve">ke opportunities to build the appropriate skills, qualifications, and/or experience needed for the role, with support from the school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929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Take part in the school’s appraisal procedures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ind w:left="559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i/>
          <w:color w:val="000000"/>
        </w:rPr>
        <w:t xml:space="preserve">Personal and professional conduct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1282" w:right="629" w:hanging="353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Uphold public trust in the education profession and maintain high standards of </w:t>
      </w:r>
      <w:r>
        <w:rPr>
          <w:rFonts w:ascii="Open Sans" w:eastAsia="Open Sans" w:hAnsi="Open Sans" w:cs="Open Sans"/>
          <w:color w:val="000000"/>
        </w:rPr>
        <w:lastRenderedPageBreak/>
        <w:t xml:space="preserve">ethics and behaviour, within and outside school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72" w:lineRule="auto"/>
        <w:ind w:left="1281" w:right="583" w:hanging="351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Have proper and professional regard for the ethos, policies and practices of the school, and maintain high standards of attendance and punctuality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left="1282" w:right="744" w:hanging="353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>Demonstrate positive attitudes, values and behaviours to develop and sustain effective relatio</w:t>
      </w:r>
      <w:r>
        <w:rPr>
          <w:rFonts w:ascii="Open Sans" w:eastAsia="Open Sans" w:hAnsi="Open Sans" w:cs="Open Sans"/>
          <w:color w:val="000000"/>
        </w:rPr>
        <w:t xml:space="preserve">nships with the school community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0" w:lineRule="auto"/>
        <w:ind w:left="929"/>
        <w:rPr>
          <w:rFonts w:ascii="Open Sans" w:eastAsia="Open Sans" w:hAnsi="Open Sans" w:cs="Open Sans"/>
          <w:color w:val="000000"/>
        </w:rPr>
      </w:pPr>
      <w:r>
        <w:rPr>
          <w:color w:val="000000"/>
        </w:rPr>
        <w:t xml:space="preserve">● </w:t>
      </w:r>
      <w:r>
        <w:rPr>
          <w:rFonts w:ascii="Open Sans" w:eastAsia="Open Sans" w:hAnsi="Open Sans" w:cs="Open Sans"/>
          <w:color w:val="000000"/>
        </w:rPr>
        <w:t xml:space="preserve">Respect individual differences and cultural diversity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72" w:lineRule="auto"/>
        <w:ind w:left="568" w:right="554" w:hanging="16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The HLTA will be required to safeguard and promote the welfare of children and young people, and follow school policies and the staff code of conduct.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72" w:lineRule="auto"/>
        <w:ind w:left="562" w:right="458" w:firstLine="9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Please note that this is illustrative of the general nature and level of responsibility of the role. It is not a comprehensive list of all tasks that the teacher will carry out. The postholder may be required to do other duties appropriate to the level of </w:t>
      </w:r>
      <w:r>
        <w:rPr>
          <w:rFonts w:ascii="Open Sans" w:eastAsia="Open Sans" w:hAnsi="Open Sans" w:cs="Open Sans"/>
          <w:color w:val="000000"/>
        </w:rPr>
        <w:t xml:space="preserve">the role, as directed by the headteacher or line manager.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ind w:left="559"/>
        <w:rPr>
          <w:rFonts w:ascii="Open Sans" w:eastAsia="Open Sans" w:hAnsi="Open Sans" w:cs="Open Sans"/>
          <w:i/>
          <w:color w:val="000000"/>
        </w:rPr>
      </w:pPr>
      <w:r>
        <w:rPr>
          <w:rFonts w:ascii="Open Sans" w:eastAsia="Open Sans" w:hAnsi="Open Sans" w:cs="Open Sans"/>
          <w:i/>
          <w:color w:val="000000"/>
        </w:rPr>
        <w:t xml:space="preserve">Data Protection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72" w:lineRule="auto"/>
        <w:ind w:left="571" w:right="443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Ensure organisational compliance with the requirements of the General Data Protection Regulations in order to minimise the risk of data breaches.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72" w:lineRule="auto"/>
        <w:ind w:left="562" w:right="640" w:hanging="10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 xml:space="preserve">The Maritime Academy Trust is committed to safeguarding and promoting the welfare of children and expects all staff and volunteers to share this commitment.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12" w:line="240" w:lineRule="auto"/>
        <w:ind w:right="672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Page 3 of 4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69"/>
        <w:rPr>
          <w:rFonts w:ascii="Open Sans" w:eastAsia="Open Sans" w:hAnsi="Open Sans" w:cs="Open Sans"/>
          <w:b/>
          <w:color w:val="000000"/>
        </w:rPr>
      </w:pPr>
      <w:r>
        <w:rPr>
          <w:rFonts w:ascii="Open Sans" w:eastAsia="Open Sans" w:hAnsi="Open Sans" w:cs="Open Sans"/>
          <w:b/>
          <w:color w:val="000000"/>
        </w:rPr>
        <w:t xml:space="preserve">Person Specification </w:t>
      </w: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4" w:line="240" w:lineRule="auto"/>
        <w:ind w:left="551"/>
        <w:rPr>
          <w:rFonts w:ascii="Open Sans" w:eastAsia="Open Sans" w:hAnsi="Open Sans" w:cs="Open Sans"/>
          <w:color w:val="000000"/>
          <w:sz w:val="20"/>
          <w:szCs w:val="20"/>
        </w:rPr>
      </w:pPr>
      <w:r>
        <w:rPr>
          <w:rFonts w:ascii="Open Sans" w:eastAsia="Open Sans" w:hAnsi="Open Sans" w:cs="Open Sans"/>
          <w:color w:val="000000"/>
          <w:sz w:val="20"/>
          <w:szCs w:val="20"/>
        </w:rPr>
        <w:t xml:space="preserve">The following criteria will be used for shortlisting purposes: </w:t>
      </w:r>
    </w:p>
    <w:tbl>
      <w:tblPr>
        <w:tblStyle w:val="a0"/>
        <w:tblW w:w="100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60"/>
        <w:gridCol w:w="4960"/>
      </w:tblGrid>
      <w:tr w:rsidR="00AD5008">
        <w:trPr>
          <w:trHeight w:val="560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6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Qualifications &amp; Experience 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Essential/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0"/>
              <w:jc w:val="right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Method of Assessment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42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Desirable </w:t>
            </w:r>
          </w:p>
        </w:tc>
      </w:tr>
      <w:tr w:rsidR="00AD5008">
        <w:trPr>
          <w:trHeight w:val="1099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24" w:right="235" w:firstLine="1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Level 2 or 3 Certificate in Supporting Teaching and Learning in Schools, Level 3 Diploma in Childcare and Education, or other relevant qualification in nursery work or childcare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Essential Application form</w:t>
            </w:r>
          </w:p>
        </w:tc>
      </w:tr>
      <w:tr w:rsidR="00AD5008">
        <w:trPr>
          <w:trHeight w:val="820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7" w:right="445" w:firstLine="17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Level 4 certificate as an HLTA or equivalent (or willingness to work towards a qualification if not already held)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Desirable Application form</w:t>
            </w:r>
          </w:p>
        </w:tc>
      </w:tr>
      <w:tr w:rsidR="00AD5008">
        <w:trPr>
          <w:trHeight w:val="560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24" w:right="385" w:firstLine="3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GCSEs at grades 9 to 4 (A* to C) including English and maths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Essential Application form</w:t>
            </w:r>
          </w:p>
        </w:tc>
      </w:tr>
      <w:tr w:rsidR="00AD5008">
        <w:trPr>
          <w:trHeight w:val="540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31" w:right="384" w:firstLine="2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Experience of planning and leading teaching and learning activities (under supervision)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Essential Application form</w:t>
            </w:r>
          </w:p>
        </w:tc>
      </w:tr>
      <w:tr w:rsidR="00AD5008">
        <w:trPr>
          <w:trHeight w:val="560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Skills and Knowledge 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Essential/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0"/>
              <w:jc w:val="right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Method of Assessment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42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Desirable </w:t>
            </w:r>
          </w:p>
        </w:tc>
      </w:tr>
      <w:tr w:rsidR="00AD5008">
        <w:trPr>
          <w:trHeight w:val="2399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4" w:right="282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Skills and expertise in understanding the needs of all pupils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9" w:lineRule="auto"/>
              <w:ind w:left="125" w:right="820" w:firstLine="9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Knowledge of how to help adapt and deliver support to meet individual needs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9" w:lineRule="auto"/>
              <w:ind w:left="125" w:right="279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Subject and curriculum knowledge relevant to the role, and ability to apply this effectively in supporting teachers and pupils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1" w:line="240" w:lineRule="auto"/>
              <w:ind w:left="133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Understanding of effective teaching methods 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Essential Supporting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477"/>
              <w:jc w:val="right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Statement/Interview/ Task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44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Essential Supporting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1007"/>
              <w:jc w:val="right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Statement/Interview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44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Essential Supporting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1007"/>
              <w:jc w:val="right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Statement/Interview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31" w:line="240" w:lineRule="auto"/>
              <w:ind w:left="144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Essential Supporting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513"/>
              <w:jc w:val="right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Statement/Interview/ Task</w:t>
            </w:r>
          </w:p>
        </w:tc>
      </w:tr>
      <w:tr w:rsidR="00AD5008">
        <w:trPr>
          <w:trHeight w:val="1300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24" w:right="535" w:firstLine="10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Knowledge of how to successfully lead learning activities for a group or class of children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1" w:line="239" w:lineRule="auto"/>
              <w:ind w:left="118" w:right="204" w:firstLine="16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Knowledge of how statutory and non-statutory frameworks for the school curriculum relate to the age and ability ranges of the learners they support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Essential Supporting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477"/>
              <w:jc w:val="right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Statement/Interview/ Task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line="240" w:lineRule="auto"/>
              <w:ind w:left="144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Desirable Supporting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1061"/>
              <w:jc w:val="right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Statement/Interview</w:t>
            </w:r>
          </w:p>
        </w:tc>
      </w:tr>
      <w:tr w:rsidR="00AD5008">
        <w:trPr>
          <w:trHeight w:val="720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9" w:lineRule="auto"/>
              <w:ind w:left="118" w:right="90" w:firstLine="16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Knowledge of how to support learners in accessing the curriculum in accordance with the SEND code of practice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Essential Supporting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513"/>
              <w:jc w:val="right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Statement/Interview/ Task</w:t>
            </w:r>
          </w:p>
        </w:tc>
      </w:tr>
      <w:tr w:rsidR="00AD5008">
        <w:trPr>
          <w:trHeight w:val="560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Personal Qualities 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Essential/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700"/>
              <w:jc w:val="right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>Method of Assessment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left="142"/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b/>
                <w:color w:val="000000"/>
                <w:sz w:val="20"/>
                <w:szCs w:val="20"/>
              </w:rPr>
              <w:t xml:space="preserve">Desirable </w:t>
            </w:r>
          </w:p>
        </w:tc>
      </w:tr>
      <w:tr w:rsidR="00AD5008">
        <w:trPr>
          <w:trHeight w:val="559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26" w:right="261" w:hanging="11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lastRenderedPageBreak/>
              <w:t>Ability to form positive relationships with children, colleagues and parents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Essential Supporting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1061"/>
              <w:jc w:val="right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Statement/Interview</w:t>
            </w:r>
          </w:p>
        </w:tc>
      </w:tr>
      <w:tr w:rsidR="00AD5008">
        <w:trPr>
          <w:trHeight w:val="820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40" w:right="306" w:hanging="12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Commitment to getting the best outcomes for pupils and promoting the ethos and values of the school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Essential Supporting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1061"/>
              <w:jc w:val="right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Statement/Interview</w:t>
            </w:r>
          </w:p>
        </w:tc>
      </w:tr>
      <w:tr w:rsidR="00AD5008">
        <w:trPr>
          <w:trHeight w:val="560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9" w:lineRule="auto"/>
              <w:ind w:left="118" w:right="301" w:firstLine="9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Commitment to equal opportunities and securing good outcomes for pupils with SEN or a disability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Essential Supporting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1061"/>
              <w:jc w:val="right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Statement/Interview</w:t>
            </w:r>
          </w:p>
        </w:tc>
      </w:tr>
      <w:tr w:rsidR="00AD5008">
        <w:trPr>
          <w:trHeight w:val="560"/>
        </w:trPr>
        <w:tc>
          <w:tcPr>
            <w:tcW w:w="5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Commitment to safeguarding and equality </w:t>
            </w:r>
          </w:p>
        </w:tc>
        <w:tc>
          <w:tcPr>
            <w:tcW w:w="4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4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 xml:space="preserve">Essential Supporting </w:t>
            </w:r>
          </w:p>
          <w:p w:rsidR="00AD5008" w:rsidRDefault="00B45A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" w:line="240" w:lineRule="auto"/>
              <w:ind w:right="1061"/>
              <w:jc w:val="right"/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color w:val="000000"/>
                <w:sz w:val="20"/>
                <w:szCs w:val="20"/>
              </w:rPr>
              <w:t>Statement/Interview</w:t>
            </w:r>
          </w:p>
        </w:tc>
      </w:tr>
    </w:tbl>
    <w:p w:rsidR="00AD5008" w:rsidRDefault="00AD50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D5008" w:rsidRDefault="00AD500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D5008" w:rsidRDefault="00B45AB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672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Page 4 of 4</w:t>
      </w:r>
    </w:p>
    <w:sectPr w:rsidR="00AD5008">
      <w:pgSz w:w="11920" w:h="16840"/>
      <w:pgMar w:top="571" w:right="1010" w:bottom="939" w:left="89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Kufam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008"/>
    <w:rsid w:val="00AD5008"/>
    <w:rsid w:val="00B4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44433"/>
  <w15:docId w15:val="{FA2B2EE1-9669-4D14-B82B-000B7E5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Jones</dc:creator>
  <cp:lastModifiedBy>Julie Jones</cp:lastModifiedBy>
  <cp:revision>2</cp:revision>
  <dcterms:created xsi:type="dcterms:W3CDTF">2022-07-14T09:49:00Z</dcterms:created>
  <dcterms:modified xsi:type="dcterms:W3CDTF">2022-07-14T09:49:00Z</dcterms:modified>
</cp:coreProperties>
</file>