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51"/>
        <w:gridCol w:w="4111"/>
        <w:gridCol w:w="4853"/>
        <w:tblGridChange w:id="0">
          <w:tblGrid>
            <w:gridCol w:w="1951"/>
            <w:gridCol w:w="4111"/>
            <w:gridCol w:w="485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1526243</wp:posOffset>
                  </wp:positionH>
                  <wp:positionV relativeFrom="paragraph">
                    <wp:posOffset>-758317</wp:posOffset>
                  </wp:positionV>
                  <wp:extent cx="2005526" cy="552587"/>
                  <wp:effectExtent b="0" l="0" r="0" t="0"/>
                  <wp:wrapNone/>
                  <wp:docPr descr="TKAT Shenstone School" id="6" name="image2.png"/>
                  <a:graphic>
                    <a:graphicData uri="http://schemas.openxmlformats.org/drawingml/2006/picture">
                      <pic:pic>
                        <pic:nvPicPr>
                          <pic:cNvPr descr="TKAT Shenstone School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526" cy="552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2036137</wp:posOffset>
                  </wp:positionH>
                  <wp:positionV relativeFrom="paragraph">
                    <wp:posOffset>-792301</wp:posOffset>
                  </wp:positionV>
                  <wp:extent cx="964878" cy="506095"/>
                  <wp:effectExtent b="0" l="0" r="0" t="0"/>
                  <wp:wrapNone/>
                  <wp:docPr descr="TKAT" id="5" name="image1.png"/>
                  <a:graphic>
                    <a:graphicData uri="http://schemas.openxmlformats.org/drawingml/2006/picture">
                      <pic:pic>
                        <pic:nvPicPr>
                          <pic:cNvPr descr="TKAT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878" cy="5060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Qualifications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Qualified Teacher status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Evidence of continuous INSET and commitment to further professional development</w:t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Experience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Class Teacher should have experience of: teaching at EYFS, Key Stage 1 and 2.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addition, the Class Teacher might have experience of: teaching in a special school preferably SLD working in partnership with parents.</w:t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Knowledge &amp; understanding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Class Teacher should have knowledge and understanding of: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theory and practice of providing effectively for the individual needs of all children (e.g. classroom organisation and learning strategies); statutory National Curriculum requirements at the appropriate key stage; the monitoring, assessment, recording and reporting of pupils’ progress; the statutory requirements of legislation concerning Equal Opportunities, Health &amp; Safety, SEN and Child Protection; the positive links necessary within school and with all its stakeholders; effective teaching and learning styles.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addition, the Class Teacher might also have knowledge and understanding of: Makaton, Brain Gym, Sensory Circuits ,PECs ,Team Teach</w:t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Class Teacher will be able to: promote the school’s aims positively, and use effective strategies to monitor motivation and morale; develop good personal relationships within a team; establish and develop close relationships with parents and governors communicate effectively (both orally and in writing) to a variety of audiences; create a happy, challenging and effective learning environment.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addition, the Class Teacher might also be able to: Develop a curriculum area</w:t>
            </w:r>
          </w:p>
        </w:tc>
      </w:tr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 characteristics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Approachable, Committed, Empathetic, Enthusiastic, Organised, Patient, Resourceful, Flexible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d0d0d"/>
                <w:rtl w:val="0"/>
              </w:rPr>
              <w:t xml:space="preserve">This post is considered to be a customer-facing position; as such it falls within scope of the Code of Practice on English language requirement for public sector workers.  The school therefore has a statutory duty under Part 7 of the Immigration Act 2016 to ensure that post holders have a command of spoken English sufficient for the effective performance of the job requirements. The appropriate standards are set out in the person specification. These will be applied during the recruitment/selection and probationary stages.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7F8D"/>
    <w:pPr>
      <w:spacing w:after="0" w:line="240" w:lineRule="auto"/>
    </w:pPr>
    <w:rPr>
      <w:rFonts w:ascii="Bookman Old Style" w:cs="Times New Roman" w:eastAsia="Times New Roman" w:hAnsi="Bookman Old Style"/>
      <w:sz w:val="24"/>
      <w:szCs w:val="20"/>
      <w:lang w:eastAsia="en-GB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ld" w:customStyle="1">
    <w:name w:val="bold"/>
    <w:basedOn w:val="Normal"/>
    <w:uiPriority w:val="99"/>
    <w:rsid w:val="00C1109B"/>
    <w:pPr>
      <w:overflowPunct w:val="0"/>
      <w:autoSpaceDE w:val="0"/>
      <w:autoSpaceDN w:val="0"/>
      <w:adjustRightInd w:val="0"/>
      <w:spacing w:after="120" w:before="120"/>
      <w:textAlignment w:val="baseline"/>
    </w:pPr>
    <w:rPr>
      <w:rFonts w:ascii="Arial" w:hAnsi="Arial"/>
      <w:b w:val="1"/>
      <w:sz w:val="22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0OH3C38zG9ZZTWXJKTXJIVFXzQ==">AMUW2mU+vie8yddVudiy/p6Spnq+Os28PslCq98dKZrlXa5vBnp8p5BATCaZORTdWpUwPxCLujAtEZhSTYiXSYrBiejXkNv4EoYCd7OUmwIvKznZlF1TVx5rUYDVVZINDHA7S7CB4AT3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2021-07-26T12:31:00Z</dcterms:created>
  <dc:creator>Dee Sacre</dc:creator>
</cp:coreProperties>
</file>